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11" w:rsidRDefault="00BB0B11" w:rsidP="009B5D68">
      <w:pPr>
        <w:jc w:val="right"/>
      </w:pPr>
      <w:bookmarkStart w:id="0" w:name="_Toc335141043"/>
      <w:r>
        <w:t>Приложение 1 к приказу №</w:t>
      </w:r>
      <w:r w:rsidR="00644AC6">
        <w:t xml:space="preserve"> 49/03</w:t>
      </w:r>
    </w:p>
    <w:p w:rsidR="00BB0B11" w:rsidRDefault="00BB0B11" w:rsidP="008D6829">
      <w:pPr>
        <w:jc w:val="right"/>
      </w:pPr>
      <w:r>
        <w:t xml:space="preserve">от </w:t>
      </w:r>
      <w:r w:rsidR="00644AC6">
        <w:t>21 января</w:t>
      </w:r>
      <w:r>
        <w:t xml:space="preserve"> </w:t>
      </w:r>
      <w:smartTag w:uri="urn:schemas-microsoft-com:office:smarttags" w:element="metricconverter">
        <w:smartTagPr>
          <w:attr w:name="ProductID" w:val="2012 г"/>
        </w:smartTagPr>
        <w:r>
          <w:t>2013 г</w:t>
        </w:r>
      </w:smartTag>
      <w:r>
        <w:t>.</w:t>
      </w:r>
    </w:p>
    <w:p w:rsidR="00BB0B11" w:rsidRPr="001F7A0C" w:rsidRDefault="00BB0B11" w:rsidP="00DC08F2">
      <w:pPr>
        <w:jc w:val="right"/>
      </w:pPr>
    </w:p>
    <w:p w:rsidR="00BB0B11" w:rsidRPr="00D40FED" w:rsidRDefault="00BB0B11" w:rsidP="00F17E43">
      <w:pPr>
        <w:jc w:val="center"/>
        <w:rPr>
          <w:b/>
        </w:rPr>
      </w:pPr>
      <w:r w:rsidRPr="0057576B">
        <w:rPr>
          <w:b/>
        </w:rPr>
        <w:t xml:space="preserve">Методика </w:t>
      </w:r>
      <w:r w:rsidR="00C12664">
        <w:rPr>
          <w:b/>
        </w:rPr>
        <w:t>ра</w:t>
      </w:r>
      <w:bookmarkStart w:id="1" w:name="_GoBack"/>
      <w:bookmarkEnd w:id="1"/>
      <w:r w:rsidRPr="0057576B">
        <w:rPr>
          <w:b/>
        </w:rPr>
        <w:t>счета резуль</w:t>
      </w:r>
      <w:r>
        <w:rPr>
          <w:b/>
        </w:rPr>
        <w:t>татов рейтинга институтов УрФУ</w:t>
      </w:r>
    </w:p>
    <w:p w:rsidR="00BB0B11" w:rsidRPr="0057576B" w:rsidRDefault="00BB0B11" w:rsidP="00F17E43">
      <w:pPr>
        <w:rPr>
          <w:b/>
        </w:rPr>
      </w:pPr>
    </w:p>
    <w:p w:rsidR="00BB0B11" w:rsidRPr="0057576B" w:rsidRDefault="00BB0B11" w:rsidP="00F17E43">
      <w:pPr>
        <w:rPr>
          <w:b/>
        </w:rPr>
      </w:pPr>
      <w:r w:rsidRPr="0057576B">
        <w:rPr>
          <w:b/>
        </w:rPr>
        <w:t>Распределение весов между направлениями.</w:t>
      </w:r>
    </w:p>
    <w:p w:rsidR="00BB0B11" w:rsidRPr="0057576B" w:rsidRDefault="00BB0B11" w:rsidP="00F17E43"/>
    <w:tbl>
      <w:tblPr>
        <w:tblW w:w="14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12245"/>
        <w:gridCol w:w="1440"/>
      </w:tblGrid>
      <w:tr w:rsidR="00BB0B11" w:rsidRPr="0057576B" w:rsidTr="00F17E43">
        <w:tc>
          <w:tcPr>
            <w:tcW w:w="1080" w:type="dxa"/>
            <w:shd w:val="clear" w:color="auto" w:fill="D9D9D9"/>
            <w:vAlign w:val="center"/>
          </w:tcPr>
          <w:p w:rsidR="00BB0B11" w:rsidRPr="0057576B" w:rsidRDefault="00BB0B11" w:rsidP="00F17E43">
            <w:pPr>
              <w:jc w:val="center"/>
              <w:rPr>
                <w:b/>
              </w:rPr>
            </w:pPr>
            <w:r w:rsidRPr="0057576B">
              <w:rPr>
                <w:b/>
              </w:rPr>
              <w:t>№ п/п</w:t>
            </w:r>
          </w:p>
        </w:tc>
        <w:tc>
          <w:tcPr>
            <w:tcW w:w="12245" w:type="dxa"/>
            <w:shd w:val="clear" w:color="auto" w:fill="D9D9D9"/>
            <w:vAlign w:val="center"/>
          </w:tcPr>
          <w:p w:rsidR="00BB0B11" w:rsidRPr="0057576B" w:rsidRDefault="00BB0B11" w:rsidP="00F17E43">
            <w:pPr>
              <w:jc w:val="center"/>
              <w:rPr>
                <w:b/>
              </w:rPr>
            </w:pPr>
            <w:r w:rsidRPr="0057576B">
              <w:rPr>
                <w:b/>
              </w:rPr>
              <w:t>Направление деятельности Институтов</w:t>
            </w:r>
          </w:p>
        </w:tc>
        <w:tc>
          <w:tcPr>
            <w:tcW w:w="1440" w:type="dxa"/>
            <w:shd w:val="clear" w:color="auto" w:fill="D9D9D9"/>
            <w:vAlign w:val="center"/>
          </w:tcPr>
          <w:p w:rsidR="00BB0B11" w:rsidRPr="0057576B" w:rsidRDefault="00BB0B11" w:rsidP="00F17E43">
            <w:pPr>
              <w:jc w:val="center"/>
              <w:rPr>
                <w:b/>
              </w:rPr>
            </w:pPr>
            <w:r w:rsidRPr="0057576B">
              <w:rPr>
                <w:b/>
              </w:rPr>
              <w:t>Вес</w:t>
            </w:r>
          </w:p>
        </w:tc>
      </w:tr>
      <w:tr w:rsidR="00BB0B11" w:rsidRPr="0057576B" w:rsidTr="00F17E43">
        <w:tc>
          <w:tcPr>
            <w:tcW w:w="1080" w:type="dxa"/>
          </w:tcPr>
          <w:p w:rsidR="00BB0B11" w:rsidRPr="0057576B" w:rsidRDefault="00BB0B11" w:rsidP="00F17E43">
            <w:pPr>
              <w:jc w:val="center"/>
            </w:pPr>
            <w:r w:rsidRPr="0057576B">
              <w:t>1</w:t>
            </w:r>
          </w:p>
        </w:tc>
        <w:tc>
          <w:tcPr>
            <w:tcW w:w="12245" w:type="dxa"/>
          </w:tcPr>
          <w:p w:rsidR="00BB0B11" w:rsidRPr="0057576B" w:rsidRDefault="00BB0B11" w:rsidP="00F17E43">
            <w:r w:rsidRPr="0057576B">
              <w:t>Совершенствование учебного процесса</w:t>
            </w:r>
          </w:p>
        </w:tc>
        <w:tc>
          <w:tcPr>
            <w:tcW w:w="1440" w:type="dxa"/>
            <w:vAlign w:val="center"/>
          </w:tcPr>
          <w:p w:rsidR="00BB0B11" w:rsidRPr="0057576B" w:rsidRDefault="00BB0B11" w:rsidP="00F17E43">
            <w:pPr>
              <w:jc w:val="center"/>
            </w:pPr>
            <w:r w:rsidRPr="0057576B">
              <w:t>25</w:t>
            </w:r>
          </w:p>
        </w:tc>
      </w:tr>
      <w:tr w:rsidR="00BB0B11" w:rsidRPr="0057576B" w:rsidTr="00F17E43">
        <w:tc>
          <w:tcPr>
            <w:tcW w:w="1080" w:type="dxa"/>
          </w:tcPr>
          <w:p w:rsidR="00BB0B11" w:rsidRPr="0057576B" w:rsidRDefault="00BB0B11" w:rsidP="00F17E43">
            <w:pPr>
              <w:jc w:val="center"/>
            </w:pPr>
            <w:r w:rsidRPr="0057576B">
              <w:t>2</w:t>
            </w:r>
          </w:p>
        </w:tc>
        <w:tc>
          <w:tcPr>
            <w:tcW w:w="12245" w:type="dxa"/>
          </w:tcPr>
          <w:p w:rsidR="00BB0B11" w:rsidRPr="0057576B" w:rsidRDefault="00BB0B11" w:rsidP="00F17E43">
            <w:r w:rsidRPr="0057576B">
              <w:t>Эффективность научных исследований</w:t>
            </w:r>
          </w:p>
        </w:tc>
        <w:tc>
          <w:tcPr>
            <w:tcW w:w="1440" w:type="dxa"/>
            <w:vAlign w:val="center"/>
          </w:tcPr>
          <w:p w:rsidR="00BB0B11" w:rsidRPr="0057576B" w:rsidRDefault="00BB0B11" w:rsidP="00F17E43">
            <w:pPr>
              <w:jc w:val="center"/>
            </w:pPr>
            <w:r w:rsidRPr="0057576B">
              <w:t>20</w:t>
            </w:r>
          </w:p>
        </w:tc>
      </w:tr>
      <w:tr w:rsidR="00BB0B11" w:rsidRPr="0057576B" w:rsidTr="00F17E43">
        <w:tc>
          <w:tcPr>
            <w:tcW w:w="1080" w:type="dxa"/>
          </w:tcPr>
          <w:p w:rsidR="00BB0B11" w:rsidRPr="0057576B" w:rsidRDefault="00BB0B11" w:rsidP="00F17E43">
            <w:pPr>
              <w:jc w:val="center"/>
            </w:pPr>
            <w:r w:rsidRPr="0057576B">
              <w:t>3</w:t>
            </w:r>
          </w:p>
        </w:tc>
        <w:tc>
          <w:tcPr>
            <w:tcW w:w="12245" w:type="dxa"/>
          </w:tcPr>
          <w:p w:rsidR="00BB0B11" w:rsidRPr="0057576B" w:rsidRDefault="00BB0B11" w:rsidP="00F17E43">
            <w:r w:rsidRPr="0057576B">
              <w:t>Квалификация кадрового профессорско-преподавательского состава</w:t>
            </w:r>
          </w:p>
        </w:tc>
        <w:tc>
          <w:tcPr>
            <w:tcW w:w="1440" w:type="dxa"/>
            <w:vAlign w:val="center"/>
          </w:tcPr>
          <w:p w:rsidR="00BB0B11" w:rsidRPr="0057576B" w:rsidRDefault="00BB0B11" w:rsidP="00F17E43">
            <w:pPr>
              <w:jc w:val="center"/>
            </w:pPr>
            <w:r w:rsidRPr="0057576B">
              <w:t>15</w:t>
            </w:r>
          </w:p>
        </w:tc>
      </w:tr>
      <w:tr w:rsidR="00BB0B11" w:rsidRPr="0057576B" w:rsidTr="00F17E43">
        <w:tc>
          <w:tcPr>
            <w:tcW w:w="1080" w:type="dxa"/>
          </w:tcPr>
          <w:p w:rsidR="00BB0B11" w:rsidRPr="0057576B" w:rsidRDefault="00BB0B11" w:rsidP="00F17E43">
            <w:pPr>
              <w:jc w:val="center"/>
            </w:pPr>
            <w:r w:rsidRPr="0057576B">
              <w:t>4</w:t>
            </w:r>
          </w:p>
        </w:tc>
        <w:tc>
          <w:tcPr>
            <w:tcW w:w="12245" w:type="dxa"/>
          </w:tcPr>
          <w:p w:rsidR="00BB0B11" w:rsidRPr="0057576B" w:rsidRDefault="00BB0B11" w:rsidP="00F17E43">
            <w:r w:rsidRPr="0057576B">
              <w:t>Инновационная деятельность</w:t>
            </w:r>
          </w:p>
        </w:tc>
        <w:tc>
          <w:tcPr>
            <w:tcW w:w="1440" w:type="dxa"/>
            <w:vAlign w:val="center"/>
          </w:tcPr>
          <w:p w:rsidR="00BB0B11" w:rsidRPr="0057576B" w:rsidRDefault="00BB0B11" w:rsidP="00F17E43">
            <w:pPr>
              <w:jc w:val="center"/>
            </w:pPr>
            <w:r w:rsidRPr="0057576B">
              <w:t>10</w:t>
            </w:r>
          </w:p>
        </w:tc>
      </w:tr>
      <w:tr w:rsidR="00BB0B11" w:rsidRPr="0057576B" w:rsidTr="00F17E43">
        <w:tc>
          <w:tcPr>
            <w:tcW w:w="1080" w:type="dxa"/>
          </w:tcPr>
          <w:p w:rsidR="00BB0B11" w:rsidRPr="0057576B" w:rsidRDefault="00BB0B11" w:rsidP="00F17E43">
            <w:pPr>
              <w:jc w:val="center"/>
            </w:pPr>
            <w:r w:rsidRPr="0057576B">
              <w:t>5</w:t>
            </w:r>
          </w:p>
        </w:tc>
        <w:tc>
          <w:tcPr>
            <w:tcW w:w="12245" w:type="dxa"/>
          </w:tcPr>
          <w:p w:rsidR="00BB0B11" w:rsidRPr="0057576B" w:rsidRDefault="00BB0B11" w:rsidP="00F17E43">
            <w:r w:rsidRPr="0057576B">
              <w:t xml:space="preserve">Интернационализация </w:t>
            </w:r>
          </w:p>
        </w:tc>
        <w:tc>
          <w:tcPr>
            <w:tcW w:w="1440" w:type="dxa"/>
            <w:vAlign w:val="center"/>
          </w:tcPr>
          <w:p w:rsidR="00BB0B11" w:rsidRPr="0057576B" w:rsidRDefault="00BB0B11" w:rsidP="00F17E43">
            <w:pPr>
              <w:jc w:val="center"/>
            </w:pPr>
            <w:r w:rsidRPr="0057576B">
              <w:t>10</w:t>
            </w:r>
          </w:p>
        </w:tc>
      </w:tr>
      <w:tr w:rsidR="00BB0B11" w:rsidRPr="0057576B" w:rsidTr="00F17E43">
        <w:tc>
          <w:tcPr>
            <w:tcW w:w="1080" w:type="dxa"/>
          </w:tcPr>
          <w:p w:rsidR="00BB0B11" w:rsidRPr="0057576B" w:rsidRDefault="00BB0B11" w:rsidP="00F17E43">
            <w:pPr>
              <w:jc w:val="center"/>
            </w:pPr>
            <w:r w:rsidRPr="0057576B">
              <w:t>6</w:t>
            </w:r>
          </w:p>
        </w:tc>
        <w:tc>
          <w:tcPr>
            <w:tcW w:w="12245" w:type="dxa"/>
          </w:tcPr>
          <w:p w:rsidR="00BB0B11" w:rsidRPr="0057576B" w:rsidRDefault="00BB0B11" w:rsidP="00F17E43">
            <w:r w:rsidRPr="0057576B">
              <w:t>Финансово-экономическое положение</w:t>
            </w:r>
          </w:p>
        </w:tc>
        <w:tc>
          <w:tcPr>
            <w:tcW w:w="1440" w:type="dxa"/>
            <w:vAlign w:val="center"/>
          </w:tcPr>
          <w:p w:rsidR="00BB0B11" w:rsidRPr="0057576B" w:rsidRDefault="00BB0B11" w:rsidP="00F17E43">
            <w:pPr>
              <w:jc w:val="center"/>
            </w:pPr>
            <w:r w:rsidRPr="0057576B">
              <w:t>10</w:t>
            </w:r>
          </w:p>
        </w:tc>
      </w:tr>
      <w:tr w:rsidR="00BB0B11" w:rsidRPr="0057576B" w:rsidTr="00F17E43">
        <w:tc>
          <w:tcPr>
            <w:tcW w:w="1080" w:type="dxa"/>
          </w:tcPr>
          <w:p w:rsidR="00BB0B11" w:rsidRPr="0057576B" w:rsidRDefault="00BB0B11" w:rsidP="00F17E43">
            <w:pPr>
              <w:jc w:val="center"/>
            </w:pPr>
            <w:r w:rsidRPr="0057576B">
              <w:t>7</w:t>
            </w:r>
          </w:p>
        </w:tc>
        <w:tc>
          <w:tcPr>
            <w:tcW w:w="12245" w:type="dxa"/>
          </w:tcPr>
          <w:p w:rsidR="00BB0B11" w:rsidRPr="0057576B" w:rsidRDefault="00BB0B11" w:rsidP="00F17E43">
            <w:r w:rsidRPr="0057576B">
              <w:t>Взаимодействие с регионом (как часть реализации социальной роли федерального университета)</w:t>
            </w:r>
          </w:p>
        </w:tc>
        <w:tc>
          <w:tcPr>
            <w:tcW w:w="1440" w:type="dxa"/>
            <w:vAlign w:val="center"/>
          </w:tcPr>
          <w:p w:rsidR="00BB0B11" w:rsidRPr="0057576B" w:rsidRDefault="00BB0B11" w:rsidP="00F17E43">
            <w:pPr>
              <w:jc w:val="center"/>
            </w:pPr>
            <w:r w:rsidRPr="0057576B">
              <w:t>10</w:t>
            </w:r>
          </w:p>
        </w:tc>
      </w:tr>
      <w:tr w:rsidR="00BB0B11" w:rsidRPr="0057576B" w:rsidTr="00F17E43">
        <w:tc>
          <w:tcPr>
            <w:tcW w:w="1080" w:type="dxa"/>
            <w:shd w:val="clear" w:color="auto" w:fill="D9D9D9"/>
          </w:tcPr>
          <w:p w:rsidR="00BB0B11" w:rsidRPr="0057576B" w:rsidRDefault="00BB0B11" w:rsidP="00F17E43">
            <w:pPr>
              <w:rPr>
                <w:b/>
              </w:rPr>
            </w:pPr>
            <w:r w:rsidRPr="0057576B">
              <w:rPr>
                <w:b/>
              </w:rPr>
              <w:t xml:space="preserve"> </w:t>
            </w:r>
          </w:p>
        </w:tc>
        <w:tc>
          <w:tcPr>
            <w:tcW w:w="12245" w:type="dxa"/>
            <w:shd w:val="clear" w:color="auto" w:fill="D9D9D9"/>
          </w:tcPr>
          <w:p w:rsidR="00BB0B11" w:rsidRPr="0057576B" w:rsidRDefault="00BB0B11" w:rsidP="00F17E43">
            <w:pPr>
              <w:rPr>
                <w:b/>
              </w:rPr>
            </w:pPr>
            <w:r w:rsidRPr="0057576B">
              <w:rPr>
                <w:b/>
              </w:rPr>
              <w:t>ИТОГО</w:t>
            </w:r>
          </w:p>
        </w:tc>
        <w:tc>
          <w:tcPr>
            <w:tcW w:w="1440" w:type="dxa"/>
            <w:shd w:val="clear" w:color="auto" w:fill="D9D9D9"/>
            <w:vAlign w:val="center"/>
          </w:tcPr>
          <w:p w:rsidR="00BB0B11" w:rsidRPr="0057576B" w:rsidRDefault="00BB0B11" w:rsidP="00F17E43">
            <w:pPr>
              <w:jc w:val="center"/>
              <w:rPr>
                <w:b/>
              </w:rPr>
            </w:pPr>
            <w:r w:rsidRPr="0057576B">
              <w:rPr>
                <w:b/>
              </w:rPr>
              <w:t>100</w:t>
            </w:r>
          </w:p>
        </w:tc>
      </w:tr>
    </w:tbl>
    <w:p w:rsidR="00BB0B11" w:rsidRPr="0057576B" w:rsidRDefault="00BB0B11" w:rsidP="00F17E43"/>
    <w:p w:rsidR="00BB0B11" w:rsidRPr="00F53098" w:rsidRDefault="00BB0B11" w:rsidP="00F17E43">
      <w:r w:rsidRPr="0057576B">
        <w:t xml:space="preserve">Формула расчета итогового </w:t>
      </w:r>
      <w:r w:rsidRPr="00F53098">
        <w:t>значения рейтинга: Рейтинг (института)=∑К</w:t>
      </w:r>
      <w:r w:rsidRPr="00F53098">
        <w:rPr>
          <w:vertAlign w:val="subscript"/>
          <w:lang w:val="en-US"/>
        </w:rPr>
        <w:t>i</w:t>
      </w:r>
      <w:r w:rsidRPr="00F53098">
        <w:t>*Зн</w:t>
      </w:r>
      <w:r w:rsidRPr="00F53098">
        <w:rPr>
          <w:vertAlign w:val="subscript"/>
          <w:lang w:val="en-US"/>
        </w:rPr>
        <w:t>i</w:t>
      </w:r>
      <w:r w:rsidRPr="00F53098">
        <w:t>, где К</w:t>
      </w:r>
      <w:r w:rsidRPr="00F53098">
        <w:rPr>
          <w:vertAlign w:val="subscript"/>
          <w:lang w:val="en-US"/>
        </w:rPr>
        <w:t>i</w:t>
      </w:r>
      <w:r w:rsidRPr="00F53098">
        <w:t xml:space="preserve"> – вес направления деятельности; Зн</w:t>
      </w:r>
      <w:r w:rsidRPr="00F53098">
        <w:rPr>
          <w:vertAlign w:val="subscript"/>
          <w:lang w:val="en-US"/>
        </w:rPr>
        <w:t>i</w:t>
      </w:r>
      <w:r w:rsidRPr="00F53098">
        <w:rPr>
          <w:vertAlign w:val="subscript"/>
        </w:rPr>
        <w:t xml:space="preserve"> </w:t>
      </w:r>
      <w:r w:rsidRPr="00F53098">
        <w:t>– сумма значений показателей внутри направления.</w:t>
      </w:r>
    </w:p>
    <w:p w:rsidR="00BB0B11" w:rsidRPr="0057576B" w:rsidRDefault="00BB0B11" w:rsidP="00F17E43">
      <w:r w:rsidRPr="00F53098">
        <w:t>Сумма значений показателей внутри направления определяется по формуле: Зн</w:t>
      </w:r>
      <w:r w:rsidRPr="00F53098">
        <w:rPr>
          <w:vertAlign w:val="subscript"/>
          <w:lang w:val="en-US"/>
        </w:rPr>
        <w:t>i</w:t>
      </w:r>
      <w:r w:rsidRPr="00F53098">
        <w:t xml:space="preserve"> =∑В</w:t>
      </w:r>
      <w:r w:rsidRPr="00F53098">
        <w:rPr>
          <w:vertAlign w:val="subscript"/>
          <w:lang w:val="en-US"/>
        </w:rPr>
        <w:t>ij</w:t>
      </w:r>
      <w:r w:rsidRPr="00F53098">
        <w:t>*П</w:t>
      </w:r>
      <w:r w:rsidRPr="00F53098">
        <w:rPr>
          <w:vertAlign w:val="subscript"/>
          <w:lang w:val="en-US"/>
        </w:rPr>
        <w:t>ij</w:t>
      </w:r>
      <w:r w:rsidRPr="00F53098">
        <w:t>, где  В</w:t>
      </w:r>
      <w:r w:rsidRPr="00F53098">
        <w:rPr>
          <w:vertAlign w:val="subscript"/>
          <w:lang w:val="en-US"/>
        </w:rPr>
        <w:t>ij</w:t>
      </w:r>
      <w:r w:rsidRPr="00F53098">
        <w:t>– вес показателя внутри направления; П</w:t>
      </w:r>
      <w:r w:rsidRPr="00F53098">
        <w:rPr>
          <w:vertAlign w:val="subscript"/>
          <w:lang w:val="en-US"/>
        </w:rPr>
        <w:t>ij</w:t>
      </w:r>
      <w:r w:rsidRPr="00F53098">
        <w:t xml:space="preserve"> –  значение показателя института, нормированное по максимальному значению показателя среди всех институтов (для показателей у которых лучшее значение - минимальное используется специальная методика нормирования). Веса каждого показателя приведены в таблице.</w:t>
      </w:r>
    </w:p>
    <w:p w:rsidR="00BB0B11" w:rsidRPr="0057576B" w:rsidRDefault="00BB0B11" w:rsidP="00F17E43"/>
    <w:p w:rsidR="00BB0B11" w:rsidRPr="0057576B" w:rsidRDefault="00BB0B11" w:rsidP="00F17E43"/>
    <w:p w:rsidR="00BB0B11" w:rsidRPr="0057576B" w:rsidRDefault="00BB0B11" w:rsidP="00F17E43">
      <w:pPr>
        <w:pageBreakBefore/>
        <w:rPr>
          <w:b/>
          <w:u w:val="single"/>
        </w:rPr>
      </w:pPr>
      <w:r w:rsidRPr="0057576B">
        <w:rPr>
          <w:b/>
          <w:u w:val="single"/>
        </w:rPr>
        <w:lastRenderedPageBreak/>
        <w:t xml:space="preserve">1. Совершенствование учебного процесса </w:t>
      </w:r>
    </w:p>
    <w:p w:rsidR="00BB0B11" w:rsidRPr="0057576B" w:rsidRDefault="00BB0B11" w:rsidP="00F17E43"/>
    <w:tbl>
      <w:tblPr>
        <w:tblW w:w="15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3209"/>
        <w:gridCol w:w="5670"/>
        <w:gridCol w:w="2552"/>
        <w:gridCol w:w="2126"/>
        <w:gridCol w:w="893"/>
        <w:gridCol w:w="893"/>
      </w:tblGrid>
      <w:tr w:rsidR="00BB0B11" w:rsidRPr="0057576B" w:rsidTr="00F17E43">
        <w:trPr>
          <w:tblHeader/>
        </w:trPr>
        <w:tc>
          <w:tcPr>
            <w:tcW w:w="335" w:type="dxa"/>
            <w:shd w:val="clear" w:color="auto" w:fill="D9D9D9"/>
            <w:vAlign w:val="center"/>
          </w:tcPr>
          <w:p w:rsidR="00BB0B11" w:rsidRPr="0057576B" w:rsidRDefault="00BB0B11" w:rsidP="00F17E43">
            <w:pPr>
              <w:jc w:val="center"/>
              <w:rPr>
                <w:b/>
              </w:rPr>
            </w:pPr>
          </w:p>
        </w:tc>
        <w:tc>
          <w:tcPr>
            <w:tcW w:w="3209" w:type="dxa"/>
            <w:shd w:val="clear" w:color="auto" w:fill="D9D9D9"/>
            <w:vAlign w:val="center"/>
          </w:tcPr>
          <w:p w:rsidR="00BB0B11" w:rsidRPr="0057576B" w:rsidRDefault="00BB0B11" w:rsidP="00F17E43">
            <w:pPr>
              <w:jc w:val="center"/>
              <w:rPr>
                <w:b/>
              </w:rPr>
            </w:pPr>
            <w:r w:rsidRPr="0057576B">
              <w:rPr>
                <w:b/>
              </w:rPr>
              <w:t>Показатель</w:t>
            </w:r>
          </w:p>
        </w:tc>
        <w:tc>
          <w:tcPr>
            <w:tcW w:w="5670" w:type="dxa"/>
            <w:shd w:val="clear" w:color="auto" w:fill="D9D9D9"/>
            <w:vAlign w:val="center"/>
          </w:tcPr>
          <w:p w:rsidR="00BB0B11" w:rsidRPr="0057576B" w:rsidRDefault="00BB0B11" w:rsidP="00F17E43">
            <w:pPr>
              <w:jc w:val="center"/>
              <w:rPr>
                <w:b/>
              </w:rPr>
            </w:pPr>
            <w:r w:rsidRPr="0057576B">
              <w:rPr>
                <w:b/>
              </w:rPr>
              <w:t xml:space="preserve">Учитываемые элементы, </w:t>
            </w:r>
          </w:p>
          <w:p w:rsidR="00BB0B11" w:rsidRPr="0057576B" w:rsidRDefault="00BB0B11" w:rsidP="00F17E43">
            <w:pPr>
              <w:jc w:val="center"/>
              <w:rPr>
                <w:b/>
              </w:rPr>
            </w:pPr>
            <w:r w:rsidRPr="0057576B">
              <w:rPr>
                <w:b/>
              </w:rPr>
              <w:t>способ расчета</w:t>
            </w:r>
          </w:p>
        </w:tc>
        <w:tc>
          <w:tcPr>
            <w:tcW w:w="2552" w:type="dxa"/>
            <w:shd w:val="clear" w:color="auto" w:fill="D9D9D9"/>
            <w:vAlign w:val="center"/>
          </w:tcPr>
          <w:p w:rsidR="00BB0B11" w:rsidRPr="0057576B" w:rsidRDefault="00BB0B11" w:rsidP="00F17E43">
            <w:pPr>
              <w:jc w:val="center"/>
              <w:rPr>
                <w:b/>
              </w:rPr>
            </w:pPr>
            <w:r w:rsidRPr="0057576B">
              <w:rPr>
                <w:b/>
              </w:rPr>
              <w:t xml:space="preserve">Обоснование, </w:t>
            </w:r>
          </w:p>
          <w:p w:rsidR="00BB0B11" w:rsidRPr="0057576B" w:rsidRDefault="00BB0B11" w:rsidP="00F17E43">
            <w:pPr>
              <w:jc w:val="center"/>
              <w:rPr>
                <w:b/>
              </w:rPr>
            </w:pPr>
            <w:r w:rsidRPr="0057576B">
              <w:rPr>
                <w:b/>
              </w:rPr>
              <w:t>как влияет на развитие</w:t>
            </w:r>
          </w:p>
        </w:tc>
        <w:tc>
          <w:tcPr>
            <w:tcW w:w="2126" w:type="dxa"/>
            <w:shd w:val="clear" w:color="auto" w:fill="D9D9D9"/>
            <w:vAlign w:val="center"/>
          </w:tcPr>
          <w:p w:rsidR="00BB0B11" w:rsidRPr="0057576B" w:rsidRDefault="00BB0B11" w:rsidP="00F17E43">
            <w:pPr>
              <w:jc w:val="center"/>
              <w:rPr>
                <w:b/>
              </w:rPr>
            </w:pPr>
            <w:r w:rsidRPr="0057576B">
              <w:rPr>
                <w:b/>
              </w:rPr>
              <w:t>Источник информации</w:t>
            </w:r>
          </w:p>
        </w:tc>
        <w:tc>
          <w:tcPr>
            <w:tcW w:w="893" w:type="dxa"/>
            <w:shd w:val="clear" w:color="auto" w:fill="D9D9D9"/>
            <w:vAlign w:val="center"/>
          </w:tcPr>
          <w:p w:rsidR="00BB0B11" w:rsidRPr="0057576B" w:rsidRDefault="00BB0B11" w:rsidP="00F17E43">
            <w:pPr>
              <w:jc w:val="center"/>
              <w:rPr>
                <w:b/>
              </w:rPr>
            </w:pPr>
            <w:r w:rsidRPr="0057576B">
              <w:rPr>
                <w:b/>
              </w:rPr>
              <w:t>Вес</w:t>
            </w:r>
          </w:p>
        </w:tc>
        <w:tc>
          <w:tcPr>
            <w:tcW w:w="893" w:type="dxa"/>
            <w:shd w:val="clear" w:color="auto" w:fill="D9D9D9"/>
            <w:vAlign w:val="center"/>
          </w:tcPr>
          <w:p w:rsidR="00BB0B11" w:rsidRPr="0057576B" w:rsidRDefault="00BB0B11" w:rsidP="00F17E43">
            <w:pPr>
              <w:jc w:val="center"/>
              <w:rPr>
                <w:b/>
              </w:rPr>
            </w:pPr>
            <w:r w:rsidRPr="0057576B">
              <w:rPr>
                <w:b/>
              </w:rPr>
              <w:t>ед. изм.</w:t>
            </w:r>
          </w:p>
        </w:tc>
      </w:tr>
      <w:tr w:rsidR="00BB0B11" w:rsidRPr="0057576B" w:rsidTr="00F17E43">
        <w:tc>
          <w:tcPr>
            <w:tcW w:w="335" w:type="dxa"/>
          </w:tcPr>
          <w:p w:rsidR="00BB0B11" w:rsidRPr="0057576B" w:rsidRDefault="00BB0B11" w:rsidP="00F17E43">
            <w:r w:rsidRPr="0057576B">
              <w:t>1</w:t>
            </w:r>
          </w:p>
        </w:tc>
        <w:tc>
          <w:tcPr>
            <w:tcW w:w="3209" w:type="dxa"/>
          </w:tcPr>
          <w:p w:rsidR="00BB0B11" w:rsidRPr="0057576B" w:rsidRDefault="00BB0B11" w:rsidP="00F17E43">
            <w:r w:rsidRPr="0057576B">
              <w:t>Средний балл ЕГЭ  первокурсников очной формы обучения</w:t>
            </w:r>
          </w:p>
        </w:tc>
        <w:tc>
          <w:tcPr>
            <w:tcW w:w="5670" w:type="dxa"/>
          </w:tcPr>
          <w:p w:rsidR="00BB0B11" w:rsidRPr="00F53098" w:rsidRDefault="00BB0B11" w:rsidP="00F17E43">
            <w:pPr>
              <w:ind w:left="72"/>
            </w:pPr>
            <w:r w:rsidRPr="00F53098">
              <w:t>При расчете учитывается балл ЕГЭ всех первокурсников, поступивших на очное обучение, независимо от формы возмещения затрат на обучение.</w:t>
            </w:r>
          </w:p>
          <w:p w:rsidR="00BB0B11" w:rsidRPr="00F53098" w:rsidRDefault="00BB0B11" w:rsidP="00F17E43">
            <w:pPr>
              <w:ind w:left="72"/>
            </w:pPr>
            <w:r w:rsidRPr="00F53098">
              <w:t>Первокурсники, поступившие на основании результатов олимпиад, считаются набравшими 300 баллов.</w:t>
            </w:r>
          </w:p>
          <w:p w:rsidR="00BB0B11" w:rsidRPr="00F53098" w:rsidRDefault="00BB0B11" w:rsidP="00F17E43">
            <w:pPr>
              <w:ind w:left="72"/>
            </w:pPr>
            <w:r w:rsidRPr="00F53098">
              <w:t xml:space="preserve">Первокурсники, поступившие внеконкурса, за исключением поступивших на основании результатов олимпиад, если не известны их баллы ЕГЭ, считаются набравшими 0 балов. </w:t>
            </w:r>
          </w:p>
        </w:tc>
        <w:tc>
          <w:tcPr>
            <w:tcW w:w="2552" w:type="dxa"/>
          </w:tcPr>
          <w:p w:rsidR="00BB0B11" w:rsidRPr="00F53098" w:rsidRDefault="00BB0B11" w:rsidP="00F53098">
            <w:pPr>
              <w:tabs>
                <w:tab w:val="num" w:pos="72"/>
              </w:tabs>
              <w:ind w:left="72"/>
            </w:pPr>
            <w:r w:rsidRPr="00F53098">
              <w:t>Характеризует качество работы институтов по приему абитуриентов среди школьников и их родителей, а также работу институтов со школами. Влияет на качество обучения в университете.</w:t>
            </w:r>
          </w:p>
        </w:tc>
        <w:tc>
          <w:tcPr>
            <w:tcW w:w="2126" w:type="dxa"/>
          </w:tcPr>
          <w:p w:rsidR="00BB0B11" w:rsidRPr="0057576B" w:rsidRDefault="00BB0B11" w:rsidP="00F17E43">
            <w:r w:rsidRPr="0057576B">
              <w:t>Центр нового приема</w:t>
            </w:r>
          </w:p>
        </w:tc>
        <w:tc>
          <w:tcPr>
            <w:tcW w:w="893" w:type="dxa"/>
          </w:tcPr>
          <w:p w:rsidR="00BB0B11" w:rsidRPr="0057576B" w:rsidRDefault="00BB0B11" w:rsidP="00F17E43">
            <w:pPr>
              <w:jc w:val="center"/>
            </w:pPr>
            <w:r w:rsidRPr="0057576B">
              <w:t>20</w:t>
            </w:r>
          </w:p>
        </w:tc>
        <w:tc>
          <w:tcPr>
            <w:tcW w:w="893" w:type="dxa"/>
          </w:tcPr>
          <w:p w:rsidR="00BB0B11" w:rsidRPr="0057576B" w:rsidRDefault="00BB0B11" w:rsidP="00F17E43">
            <w:r w:rsidRPr="0057576B">
              <w:t>Средний балл</w:t>
            </w:r>
          </w:p>
        </w:tc>
      </w:tr>
      <w:tr w:rsidR="00BB0B11" w:rsidRPr="0057576B" w:rsidTr="00F17E43">
        <w:trPr>
          <w:trHeight w:val="503"/>
        </w:trPr>
        <w:tc>
          <w:tcPr>
            <w:tcW w:w="335" w:type="dxa"/>
          </w:tcPr>
          <w:p w:rsidR="00BB0B11" w:rsidRPr="0057576B" w:rsidRDefault="00BB0B11" w:rsidP="00F17E43">
            <w:r w:rsidRPr="0057576B">
              <w:t>2</w:t>
            </w:r>
          </w:p>
        </w:tc>
        <w:tc>
          <w:tcPr>
            <w:tcW w:w="3209" w:type="dxa"/>
          </w:tcPr>
          <w:p w:rsidR="00BB0B11" w:rsidRPr="0057576B" w:rsidRDefault="00BB0B11" w:rsidP="00F17E43">
            <w:r w:rsidRPr="0057576B">
              <w:t>Обеспечение всех видов занятий учебно-методическими материалами</w:t>
            </w:r>
          </w:p>
        </w:tc>
        <w:tc>
          <w:tcPr>
            <w:tcW w:w="5670" w:type="dxa"/>
          </w:tcPr>
          <w:p w:rsidR="00BB0B11" w:rsidRPr="00F53098" w:rsidRDefault="00BB0B11" w:rsidP="00F17E43">
            <w:r w:rsidRPr="00F53098">
              <w:t xml:space="preserve">Показатель рассчитывается как отношение количества обеспеченных дисциплин (дисциплины, имеющие частичное обеспечение, складываются с коэффициентом 0,5) к общему количеству дисциплин, обучение по которым реализуется в институте. Дисциплина считается реализуемой в институте в соответствии с рабочим планом и распределением нагрузки на текущий учебный год, в случае отсутствия в ЕИСУ утвержденной версии рабочего плана и информации о распределении учебной нагрузки, дисциплина закрепляется за институтом, реализующим соответствующую образовательную программу.  </w:t>
            </w:r>
          </w:p>
          <w:p w:rsidR="00BB0B11" w:rsidRPr="00F53098" w:rsidRDefault="00BB0B11" w:rsidP="00F17E43">
            <w:r w:rsidRPr="00F53098">
              <w:t>1)</w:t>
            </w:r>
            <w:r w:rsidRPr="00F53098">
              <w:tab/>
              <w:t xml:space="preserve">Учитываются электронные образовательные ресурсы (ЭОР), зарегистрированные на Портале ИОР УрФУ за последние 5 лет, имеющие статус «ЭОР УрФУ», полученный в соответствии с  Документированной процедурой "Разработка, экспертиза и использование в учебном процессе электронных образовательных ресурсов", введенной </w:t>
            </w:r>
            <w:r w:rsidRPr="00F53098">
              <w:lastRenderedPageBreak/>
              <w:t xml:space="preserve">в действие Приказом от 10.07.2012 №543/03, и метаданные, содержащие указание области применения ресурса (перечень названий дисциплин и перечень образовательных программ). </w:t>
            </w:r>
          </w:p>
          <w:p w:rsidR="00BB0B11" w:rsidRPr="00F53098" w:rsidRDefault="00BB0B11" w:rsidP="00F17E43">
            <w:r w:rsidRPr="00F53098">
              <w:t>2)</w:t>
            </w:r>
            <w:r w:rsidRPr="00F53098">
              <w:tab/>
              <w:t>Наличие ресурса с типом «УМК» (учебно-методический комплекс по дисциплине или учебно-методическое обеспечение модуля), имеющего статус «ЭОР УрФУ» и указание дисциплины и образовательной программы в метаданных, приравнивается к 100% обеспечению дисциплины (соответствие рабочей программе дисциплины проверяется на этапе экспертизы ресурса при получении статуса); наличие других ресурсов (включая аналоги печатных изданий, ссылки на ресурсы ЭБС) со статусом «ЭОР УрФУ» приравнивается к частичному обеспечению дисциплины.</w:t>
            </w:r>
          </w:p>
          <w:p w:rsidR="00BB0B11" w:rsidRPr="00F53098" w:rsidRDefault="00BB0B11" w:rsidP="00F17E43">
            <w:r w:rsidRPr="00F53098">
              <w:t>Подсчет производится по состоянию на 31 декабря отчетного года</w:t>
            </w:r>
          </w:p>
        </w:tc>
        <w:tc>
          <w:tcPr>
            <w:tcW w:w="2552" w:type="dxa"/>
          </w:tcPr>
          <w:p w:rsidR="00BB0B11" w:rsidRPr="00F53098" w:rsidRDefault="00BB0B11" w:rsidP="00F17E43">
            <w:r w:rsidRPr="00F53098">
              <w:lastRenderedPageBreak/>
              <w:t>Характеризует качество проведения учебных занятий, владение современными методами обучения, соответствие уровня методического обучения образовательному стандарту.</w:t>
            </w:r>
          </w:p>
        </w:tc>
        <w:tc>
          <w:tcPr>
            <w:tcW w:w="2126" w:type="dxa"/>
          </w:tcPr>
          <w:p w:rsidR="00BB0B11" w:rsidRPr="0057576B" w:rsidRDefault="00BB0B11" w:rsidP="00F17E43">
            <w:r w:rsidRPr="0057576B">
              <w:t>ЦОТ</w:t>
            </w:r>
          </w:p>
          <w:p w:rsidR="00BB0B11" w:rsidRPr="0057576B" w:rsidRDefault="00BB0B11" w:rsidP="00F17E43"/>
        </w:tc>
        <w:tc>
          <w:tcPr>
            <w:tcW w:w="893" w:type="dxa"/>
          </w:tcPr>
          <w:p w:rsidR="00BB0B11" w:rsidRPr="0057576B" w:rsidRDefault="00BB0B11" w:rsidP="00F17E43">
            <w:pPr>
              <w:jc w:val="center"/>
            </w:pPr>
            <w:r w:rsidRPr="0057576B">
              <w:t>15</w:t>
            </w:r>
          </w:p>
        </w:tc>
        <w:tc>
          <w:tcPr>
            <w:tcW w:w="893" w:type="dxa"/>
          </w:tcPr>
          <w:p w:rsidR="00BB0B11" w:rsidRPr="0057576B" w:rsidRDefault="00BB0B11" w:rsidP="00F17E43">
            <w:r w:rsidRPr="0057576B">
              <w:t>%</w:t>
            </w:r>
          </w:p>
        </w:tc>
      </w:tr>
      <w:tr w:rsidR="00BB0B11" w:rsidRPr="0057576B" w:rsidTr="00F53098">
        <w:tc>
          <w:tcPr>
            <w:tcW w:w="335" w:type="dxa"/>
          </w:tcPr>
          <w:p w:rsidR="00BB0B11" w:rsidRPr="0057576B" w:rsidRDefault="00BB0B11" w:rsidP="00F17E43">
            <w:r w:rsidRPr="0057576B">
              <w:lastRenderedPageBreak/>
              <w:t>3</w:t>
            </w:r>
          </w:p>
        </w:tc>
        <w:tc>
          <w:tcPr>
            <w:tcW w:w="3209" w:type="dxa"/>
          </w:tcPr>
          <w:p w:rsidR="00BB0B11" w:rsidRPr="0057576B" w:rsidRDefault="00BB0B11" w:rsidP="00F17E43">
            <w:r w:rsidRPr="0057576B">
              <w:t>Доля учебных площадей, оборудованных лабораторным либо мультимедийным оборудованием (в т.ч. компьютерные классы)</w:t>
            </w:r>
          </w:p>
        </w:tc>
        <w:tc>
          <w:tcPr>
            <w:tcW w:w="5670" w:type="dxa"/>
            <w:shd w:val="clear" w:color="auto" w:fill="auto"/>
          </w:tcPr>
          <w:p w:rsidR="00BB0B11" w:rsidRPr="00F53098" w:rsidRDefault="00BB0B11" w:rsidP="00F17E43">
            <w:r w:rsidRPr="00F53098">
              <w:t xml:space="preserve">Показатель рассчитывается как отношение площади оборудованных учебных помещений  к общей площади учебных помещений, закрепленных за институтом в соответствии с информацией в ЕИСУ. Из учета площадей помещений исключаются полигоны, спортивные площадки и залы. К оборудованным помещениям относятся помещения, следующих категорий: компьютерные классы, мультимедийные аудитории, лаборатории, студии, помещения бетатрона, микротрона, детандерные, классы радиосвязи, технической подготовки, ТММ. Категория помещения определяется в соответствии с информацией в ЕИСУ, а также информацией от институтов о компьютерных классах и </w:t>
            </w:r>
            <w:r w:rsidRPr="00F53098">
              <w:lastRenderedPageBreak/>
              <w:t>мультимедийных аудиториях, которая проверяется путем ежегодного визуального осмотра состояния оборудования. При расчете учитывается наличие переносных мультимедийных комплектов и мобильных компьютерных классов – статус мультимедийных аудиторий и компьютерных классов присваивается на этапе расчета помещениям в соответствии с количеством таких комплектов.</w:t>
            </w:r>
          </w:p>
          <w:p w:rsidR="00BB0B11" w:rsidRPr="00F53098" w:rsidRDefault="00BB0B11" w:rsidP="00F17E43">
            <w:r w:rsidRPr="00F53098">
              <w:t>Подсчет производится по состоянию на 31 декабря отчетного года</w:t>
            </w:r>
          </w:p>
        </w:tc>
        <w:tc>
          <w:tcPr>
            <w:tcW w:w="2552" w:type="dxa"/>
            <w:shd w:val="clear" w:color="auto" w:fill="auto"/>
          </w:tcPr>
          <w:p w:rsidR="00BB0B11" w:rsidRPr="00F53098" w:rsidRDefault="00BB0B11" w:rsidP="00F17E43">
            <w:r w:rsidRPr="00F53098">
              <w:lastRenderedPageBreak/>
              <w:t>Характеризует материально-техническое обеспечение учебного процесса. Влияет на качество подготовки, определяет возможность реализации современных образовательных технологий</w:t>
            </w:r>
          </w:p>
        </w:tc>
        <w:tc>
          <w:tcPr>
            <w:tcW w:w="2126" w:type="dxa"/>
          </w:tcPr>
          <w:p w:rsidR="00BB0B11" w:rsidRPr="0057576B" w:rsidRDefault="00BB0B11" w:rsidP="00F17E43">
            <w:r w:rsidRPr="0057576B">
              <w:t xml:space="preserve">ЦОТ </w:t>
            </w:r>
          </w:p>
        </w:tc>
        <w:tc>
          <w:tcPr>
            <w:tcW w:w="893" w:type="dxa"/>
          </w:tcPr>
          <w:p w:rsidR="00BB0B11" w:rsidRPr="0057576B" w:rsidRDefault="00BB0B11" w:rsidP="00F17E43">
            <w:pPr>
              <w:jc w:val="center"/>
            </w:pPr>
            <w:r w:rsidRPr="0057576B">
              <w:t>15</w:t>
            </w:r>
          </w:p>
        </w:tc>
        <w:tc>
          <w:tcPr>
            <w:tcW w:w="893"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lastRenderedPageBreak/>
              <w:t>4</w:t>
            </w:r>
          </w:p>
        </w:tc>
        <w:tc>
          <w:tcPr>
            <w:tcW w:w="3209" w:type="dxa"/>
          </w:tcPr>
          <w:p w:rsidR="00BB0B11" w:rsidRPr="0057576B" w:rsidRDefault="00BB0B11" w:rsidP="00F17E43">
            <w:r w:rsidRPr="0057576B">
              <w:t xml:space="preserve">Доля магистрантов в общем количестве обучающихся </w:t>
            </w:r>
          </w:p>
        </w:tc>
        <w:tc>
          <w:tcPr>
            <w:tcW w:w="5670" w:type="dxa"/>
          </w:tcPr>
          <w:p w:rsidR="00BB0B11" w:rsidRPr="0057576B" w:rsidRDefault="00BB0B11" w:rsidP="00F17E43">
            <w:r w:rsidRPr="0057576B">
              <w:t xml:space="preserve">Приведенный контингент магистрантов делится на приведенный контингент обучающихся в институте, результат выражается в процентах. Подсчет производится по состоянию на 10 октября отчетного года. </w:t>
            </w:r>
          </w:p>
        </w:tc>
        <w:tc>
          <w:tcPr>
            <w:tcW w:w="2552" w:type="dxa"/>
          </w:tcPr>
          <w:p w:rsidR="00BB0B11" w:rsidRPr="0057576B" w:rsidRDefault="00BB0B11" w:rsidP="00F17E43">
            <w:r w:rsidRPr="0057576B">
              <w:t>Характеризует способность института вести углубленную профессиональную подготовку</w:t>
            </w:r>
          </w:p>
        </w:tc>
        <w:tc>
          <w:tcPr>
            <w:tcW w:w="2126" w:type="dxa"/>
          </w:tcPr>
          <w:p w:rsidR="00BB0B11" w:rsidRPr="0057576B" w:rsidRDefault="00BB0B11" w:rsidP="00F17E43">
            <w:r w:rsidRPr="0057576B">
              <w:t>УУМР</w:t>
            </w:r>
          </w:p>
        </w:tc>
        <w:tc>
          <w:tcPr>
            <w:tcW w:w="893" w:type="dxa"/>
          </w:tcPr>
          <w:p w:rsidR="00BB0B11" w:rsidRPr="0057576B" w:rsidRDefault="00BB0B11" w:rsidP="00F17E43">
            <w:pPr>
              <w:jc w:val="center"/>
            </w:pPr>
            <w:r w:rsidRPr="0057576B">
              <w:t>20</w:t>
            </w:r>
          </w:p>
        </w:tc>
        <w:tc>
          <w:tcPr>
            <w:tcW w:w="893"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5</w:t>
            </w:r>
          </w:p>
        </w:tc>
        <w:tc>
          <w:tcPr>
            <w:tcW w:w="3209" w:type="dxa"/>
          </w:tcPr>
          <w:p w:rsidR="00BB0B11" w:rsidRPr="0057576B" w:rsidRDefault="00BB0B11" w:rsidP="00F17E43">
            <w:r w:rsidRPr="0057576B">
              <w:t>Доля студентов, имеющих особые заслуги в обучении</w:t>
            </w:r>
          </w:p>
        </w:tc>
        <w:tc>
          <w:tcPr>
            <w:tcW w:w="5670" w:type="dxa"/>
          </w:tcPr>
          <w:p w:rsidR="00BB0B11" w:rsidRPr="0057576B" w:rsidRDefault="00BB0B11" w:rsidP="00F17E43">
            <w:r>
              <w:t xml:space="preserve">Отношение численности </w:t>
            </w:r>
            <w:r w:rsidRPr="0057576B">
              <w:t>именных стипендиатов</w:t>
            </w:r>
            <w:r>
              <w:t xml:space="preserve"> к численности студентов очников института</w:t>
            </w:r>
            <w:r w:rsidRPr="0057576B">
              <w:t>.</w:t>
            </w:r>
            <w:r>
              <w:t xml:space="preserve"> Именные стипендиаты учитываются однократно.</w:t>
            </w:r>
          </w:p>
          <w:p w:rsidR="00BB0B11" w:rsidRPr="0057576B" w:rsidRDefault="00BB0B11" w:rsidP="00F17E43">
            <w:r w:rsidRPr="0057576B">
              <w:t>Не учитываются именные стипендии, предполагающие квотирование мест по институтам.</w:t>
            </w:r>
          </w:p>
          <w:p w:rsidR="00BB0B11" w:rsidRPr="0057576B" w:rsidRDefault="00BB0B11" w:rsidP="00F17E43">
            <w:r w:rsidRPr="0057576B">
              <w:t xml:space="preserve">Учитываются любые «внешние» по отношению к вузу стипендии, за исключением стипендий целевой подготовки, назначаемых работодателем. </w:t>
            </w:r>
          </w:p>
          <w:p w:rsidR="00BB0B11" w:rsidRPr="0057576B" w:rsidRDefault="00BB0B11" w:rsidP="00F17E43">
            <w:r w:rsidRPr="0057576B">
              <w:t>Подсчет производится по состоянию на 31 декабря отчетного года</w:t>
            </w:r>
          </w:p>
        </w:tc>
        <w:tc>
          <w:tcPr>
            <w:tcW w:w="2552" w:type="dxa"/>
          </w:tcPr>
          <w:p w:rsidR="00BB0B11" w:rsidRPr="0057576B" w:rsidRDefault="00BB0B11" w:rsidP="00F17E43">
            <w:r w:rsidRPr="0057576B">
              <w:t>Характеризует оценку качества подготовки независимыми  экспертами, уровень подготовки по сравнению с другими вузами.</w:t>
            </w:r>
          </w:p>
        </w:tc>
        <w:tc>
          <w:tcPr>
            <w:tcW w:w="2126" w:type="dxa"/>
          </w:tcPr>
          <w:p w:rsidR="00BB0B11" w:rsidRPr="0057576B" w:rsidRDefault="00BB0B11" w:rsidP="00F17E43">
            <w:r w:rsidRPr="0057576B">
              <w:t>УУМР</w:t>
            </w:r>
          </w:p>
        </w:tc>
        <w:tc>
          <w:tcPr>
            <w:tcW w:w="893" w:type="dxa"/>
          </w:tcPr>
          <w:p w:rsidR="00BB0B11" w:rsidRPr="0057576B" w:rsidRDefault="00BB0B11" w:rsidP="00F17E43">
            <w:pPr>
              <w:jc w:val="center"/>
            </w:pPr>
            <w:r w:rsidRPr="0057576B">
              <w:t>20</w:t>
            </w:r>
          </w:p>
        </w:tc>
        <w:tc>
          <w:tcPr>
            <w:tcW w:w="893"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6</w:t>
            </w:r>
          </w:p>
        </w:tc>
        <w:tc>
          <w:tcPr>
            <w:tcW w:w="3209" w:type="dxa"/>
          </w:tcPr>
          <w:p w:rsidR="00BB0B11" w:rsidRPr="0057576B" w:rsidRDefault="00BB0B11" w:rsidP="00F17E43">
            <w:r w:rsidRPr="0057576B">
              <w:t>Доля реализуемых основных образовательных программ, в которых используются дистанционные образовательные технологии.</w:t>
            </w:r>
          </w:p>
          <w:p w:rsidR="00BB0B11" w:rsidRPr="0057576B" w:rsidRDefault="00BB0B11" w:rsidP="00F17E43"/>
        </w:tc>
        <w:tc>
          <w:tcPr>
            <w:tcW w:w="5670" w:type="dxa"/>
          </w:tcPr>
          <w:p w:rsidR="00BB0B11" w:rsidRDefault="00BB0B11" w:rsidP="00F17E43">
            <w:r>
              <w:t>1)</w:t>
            </w:r>
            <w:r>
              <w:tab/>
              <w:t>Показатель рассчитывается как отношение количества образовательных программ, реализуемых с использованием дистанционных образовательных технологий (ДОТ) и электронного обучения (ЭО), к общему количеству образовательных программ, реализуемых институтом. Образовательные программы, реализуемые ИОИТ и ИТОО, учитываются в профильных институтах, отвечающих за выпуск.</w:t>
            </w:r>
          </w:p>
          <w:p w:rsidR="00BB0B11" w:rsidRDefault="00BB0B11" w:rsidP="00F17E43">
            <w:r>
              <w:t>2)</w:t>
            </w:r>
            <w:r>
              <w:tab/>
              <w:t>Программа считается реализуемой с использованием дистанционных образовательных технологий (ДОТ) и электронного обучения (ЭО), если не менее 20% дисциплин учебного плана образовательной программы имеют сетевые электронные курсы, размещенные в системе дистанционного обучения и имеющие подключенных к ним активных студентов (активными студентами признаются студенты, осуществляющие вход в систему не реже одного раза в месяц в период семестра). Факт наличия сетевых курсов определяется в соответствии с информацией из системы электронного обучения learn.urfu.ru, либо на основании полученных на комиссии при Методическом совете УрФУ статусов, связанных с использованием дистанционных образовательных технологий и электронного обучения.</w:t>
            </w:r>
          </w:p>
          <w:p w:rsidR="00BB0B11" w:rsidRPr="0057576B" w:rsidRDefault="00BB0B11" w:rsidP="00F17E43">
            <w:r w:rsidRPr="0057576B">
              <w:t>Подсчет производится по состоянию на 31 декабря отчетного года</w:t>
            </w:r>
          </w:p>
        </w:tc>
        <w:tc>
          <w:tcPr>
            <w:tcW w:w="2552" w:type="dxa"/>
          </w:tcPr>
          <w:p w:rsidR="00BB0B11" w:rsidRPr="0057576B" w:rsidRDefault="00BB0B11" w:rsidP="00F17E43">
            <w:r w:rsidRPr="0057576B">
              <w:t>Характеризует применение современных образовательных технологий, возможность предоставления образовательных услуг независимо от времени, места нахождения, социального статуса обучающихся.</w:t>
            </w:r>
          </w:p>
        </w:tc>
        <w:tc>
          <w:tcPr>
            <w:tcW w:w="2126" w:type="dxa"/>
          </w:tcPr>
          <w:p w:rsidR="00BB0B11" w:rsidRPr="0057576B" w:rsidRDefault="00BB0B11" w:rsidP="00F17E43">
            <w:r w:rsidRPr="0057576B">
              <w:t>ЦОТ</w:t>
            </w:r>
          </w:p>
        </w:tc>
        <w:tc>
          <w:tcPr>
            <w:tcW w:w="893" w:type="dxa"/>
          </w:tcPr>
          <w:p w:rsidR="00BB0B11" w:rsidRPr="0057576B" w:rsidRDefault="00BB0B11" w:rsidP="00F17E43">
            <w:pPr>
              <w:jc w:val="center"/>
            </w:pPr>
            <w:r w:rsidRPr="0057576B">
              <w:t>10</w:t>
            </w:r>
          </w:p>
        </w:tc>
        <w:tc>
          <w:tcPr>
            <w:tcW w:w="893" w:type="dxa"/>
          </w:tcPr>
          <w:p w:rsidR="00BB0B11" w:rsidRPr="0057576B" w:rsidRDefault="00BB0B11" w:rsidP="00F17E43">
            <w:r w:rsidRPr="0057576B">
              <w:t>%</w:t>
            </w:r>
          </w:p>
        </w:tc>
      </w:tr>
    </w:tbl>
    <w:p w:rsidR="00BB0B11" w:rsidRPr="0057576B" w:rsidRDefault="00BB0B11" w:rsidP="00F17E43"/>
    <w:p w:rsidR="00BB0B11" w:rsidRPr="0057576B" w:rsidRDefault="00BB0B11" w:rsidP="00F17E43">
      <w:pPr>
        <w:rPr>
          <w:b/>
          <w:u w:val="single"/>
          <w:lang w:val="en-US"/>
        </w:rPr>
      </w:pPr>
      <w:r w:rsidRPr="0057576B">
        <w:rPr>
          <w:b/>
          <w:u w:val="single"/>
        </w:rPr>
        <w:t>2. Эффективность научных исследований</w:t>
      </w:r>
    </w:p>
    <w:p w:rsidR="00BB0B11" w:rsidRPr="0057576B" w:rsidRDefault="00BB0B11" w:rsidP="00F17E43"/>
    <w:tbl>
      <w:tblPr>
        <w:tblW w:w="15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3209"/>
        <w:gridCol w:w="5670"/>
        <w:gridCol w:w="2552"/>
        <w:gridCol w:w="2126"/>
        <w:gridCol w:w="893"/>
        <w:gridCol w:w="893"/>
      </w:tblGrid>
      <w:tr w:rsidR="00BB0B11" w:rsidRPr="0057576B" w:rsidTr="00F17E43">
        <w:trPr>
          <w:tblHeader/>
        </w:trPr>
        <w:tc>
          <w:tcPr>
            <w:tcW w:w="335" w:type="dxa"/>
            <w:shd w:val="clear" w:color="auto" w:fill="D9D9D9"/>
            <w:vAlign w:val="center"/>
          </w:tcPr>
          <w:p w:rsidR="00BB0B11" w:rsidRPr="0057576B" w:rsidRDefault="00BB0B11" w:rsidP="00F17E43">
            <w:pPr>
              <w:jc w:val="center"/>
              <w:rPr>
                <w:b/>
              </w:rPr>
            </w:pPr>
          </w:p>
        </w:tc>
        <w:tc>
          <w:tcPr>
            <w:tcW w:w="3209" w:type="dxa"/>
            <w:shd w:val="clear" w:color="auto" w:fill="D9D9D9"/>
            <w:vAlign w:val="center"/>
          </w:tcPr>
          <w:p w:rsidR="00BB0B11" w:rsidRPr="0057576B" w:rsidRDefault="00BB0B11" w:rsidP="00F17E43">
            <w:pPr>
              <w:jc w:val="center"/>
              <w:rPr>
                <w:b/>
              </w:rPr>
            </w:pPr>
            <w:r w:rsidRPr="0057576B">
              <w:rPr>
                <w:b/>
              </w:rPr>
              <w:t>Показатель</w:t>
            </w:r>
          </w:p>
        </w:tc>
        <w:tc>
          <w:tcPr>
            <w:tcW w:w="5670" w:type="dxa"/>
            <w:shd w:val="clear" w:color="auto" w:fill="D9D9D9"/>
            <w:vAlign w:val="center"/>
          </w:tcPr>
          <w:p w:rsidR="00BB0B11" w:rsidRPr="0057576B" w:rsidRDefault="00BB0B11" w:rsidP="00F17E43">
            <w:pPr>
              <w:jc w:val="center"/>
              <w:rPr>
                <w:b/>
              </w:rPr>
            </w:pPr>
            <w:r w:rsidRPr="0057576B">
              <w:rPr>
                <w:b/>
              </w:rPr>
              <w:t xml:space="preserve">Учитываемые элементы, </w:t>
            </w:r>
          </w:p>
          <w:p w:rsidR="00BB0B11" w:rsidRPr="0057576B" w:rsidRDefault="00BB0B11" w:rsidP="00F17E43">
            <w:pPr>
              <w:jc w:val="center"/>
              <w:rPr>
                <w:b/>
              </w:rPr>
            </w:pPr>
            <w:r w:rsidRPr="0057576B">
              <w:rPr>
                <w:b/>
              </w:rPr>
              <w:t>способ расчета</w:t>
            </w:r>
          </w:p>
        </w:tc>
        <w:tc>
          <w:tcPr>
            <w:tcW w:w="2552" w:type="dxa"/>
            <w:shd w:val="clear" w:color="auto" w:fill="D9D9D9"/>
            <w:vAlign w:val="center"/>
          </w:tcPr>
          <w:p w:rsidR="00BB0B11" w:rsidRPr="0057576B" w:rsidRDefault="00BB0B11" w:rsidP="00F17E43">
            <w:pPr>
              <w:jc w:val="center"/>
              <w:rPr>
                <w:b/>
              </w:rPr>
            </w:pPr>
            <w:r w:rsidRPr="0057576B">
              <w:rPr>
                <w:b/>
              </w:rPr>
              <w:t xml:space="preserve">Обоснование, </w:t>
            </w:r>
          </w:p>
          <w:p w:rsidR="00BB0B11" w:rsidRPr="0057576B" w:rsidRDefault="00BB0B11" w:rsidP="00F17E43">
            <w:pPr>
              <w:jc w:val="center"/>
              <w:rPr>
                <w:b/>
              </w:rPr>
            </w:pPr>
            <w:r w:rsidRPr="0057576B">
              <w:rPr>
                <w:b/>
              </w:rPr>
              <w:t>как влияет на развитие</w:t>
            </w:r>
          </w:p>
        </w:tc>
        <w:tc>
          <w:tcPr>
            <w:tcW w:w="2126" w:type="dxa"/>
            <w:shd w:val="clear" w:color="auto" w:fill="D9D9D9"/>
            <w:vAlign w:val="center"/>
          </w:tcPr>
          <w:p w:rsidR="00BB0B11" w:rsidRPr="0057576B" w:rsidRDefault="00BB0B11" w:rsidP="00F17E43">
            <w:pPr>
              <w:jc w:val="center"/>
              <w:rPr>
                <w:b/>
              </w:rPr>
            </w:pPr>
            <w:r w:rsidRPr="0057576B">
              <w:rPr>
                <w:b/>
              </w:rPr>
              <w:t>Источник информации</w:t>
            </w:r>
          </w:p>
        </w:tc>
        <w:tc>
          <w:tcPr>
            <w:tcW w:w="893" w:type="dxa"/>
            <w:shd w:val="clear" w:color="auto" w:fill="D9D9D9"/>
            <w:vAlign w:val="center"/>
          </w:tcPr>
          <w:p w:rsidR="00BB0B11" w:rsidRPr="0057576B" w:rsidRDefault="00BB0B11" w:rsidP="00F17E43">
            <w:pPr>
              <w:jc w:val="center"/>
              <w:rPr>
                <w:b/>
              </w:rPr>
            </w:pPr>
            <w:r w:rsidRPr="0057576B">
              <w:rPr>
                <w:b/>
              </w:rPr>
              <w:t>Вес</w:t>
            </w:r>
          </w:p>
        </w:tc>
        <w:tc>
          <w:tcPr>
            <w:tcW w:w="893" w:type="dxa"/>
            <w:shd w:val="clear" w:color="auto" w:fill="D9D9D9"/>
            <w:vAlign w:val="center"/>
          </w:tcPr>
          <w:p w:rsidR="00BB0B11" w:rsidRPr="0057576B" w:rsidRDefault="00BB0B11" w:rsidP="00F17E43">
            <w:pPr>
              <w:jc w:val="center"/>
              <w:rPr>
                <w:b/>
              </w:rPr>
            </w:pPr>
            <w:r w:rsidRPr="0057576B">
              <w:rPr>
                <w:b/>
              </w:rPr>
              <w:t>ед. изм.</w:t>
            </w:r>
          </w:p>
        </w:tc>
      </w:tr>
      <w:tr w:rsidR="00BB0B11" w:rsidRPr="0057576B" w:rsidTr="00F17E43">
        <w:tc>
          <w:tcPr>
            <w:tcW w:w="335" w:type="dxa"/>
          </w:tcPr>
          <w:p w:rsidR="00BB0B11" w:rsidRPr="0057576B" w:rsidRDefault="00BB0B11" w:rsidP="00F17E43">
            <w:r w:rsidRPr="0057576B">
              <w:rPr>
                <w:lang w:val="en-US"/>
              </w:rPr>
              <w:t>1</w:t>
            </w:r>
          </w:p>
        </w:tc>
        <w:tc>
          <w:tcPr>
            <w:tcW w:w="3209" w:type="dxa"/>
          </w:tcPr>
          <w:p w:rsidR="00BB0B11" w:rsidRPr="0057576B" w:rsidRDefault="00BB0B11" w:rsidP="00F17E43">
            <w:r w:rsidRPr="0057576B">
              <w:t>Объем финансирования научно-исследовательских и опытно-конструкторских работ (научные гранты, проекты, хозяйственные договоры),  выполненных собственными силами, в институте в течение отчетного года, в расчете на одну ставку НПР института.</w:t>
            </w:r>
          </w:p>
        </w:tc>
        <w:tc>
          <w:tcPr>
            <w:tcW w:w="5670" w:type="dxa"/>
          </w:tcPr>
          <w:p w:rsidR="00BB0B11" w:rsidRPr="0057576B" w:rsidRDefault="00BB0B11" w:rsidP="00F17E43">
            <w:pPr>
              <w:rPr>
                <w:iCs/>
              </w:rPr>
            </w:pPr>
            <w:r w:rsidRPr="0057576B">
              <w:rPr>
                <w:iCs/>
              </w:rPr>
              <w:t>Учитываются только те гранты, проекты, хозяйственные договоры, финансирование которых осуществлялось через УрФУ, за вычетом денег выплаченных субподрядчикам.</w:t>
            </w:r>
          </w:p>
          <w:p w:rsidR="00BB0B11" w:rsidRPr="0057576B" w:rsidRDefault="00BB0B11" w:rsidP="00F17E43">
            <w:r w:rsidRPr="0057576B">
              <w:rPr>
                <w:iCs/>
              </w:rPr>
              <w:t xml:space="preserve">Численность ставок НПР равна </w:t>
            </w:r>
            <w:r w:rsidRPr="0057576B">
              <w:rPr>
                <w:color w:val="000000"/>
              </w:rPr>
              <w:t>среднесписочн</w:t>
            </w:r>
            <w:r>
              <w:rPr>
                <w:color w:val="000000"/>
              </w:rPr>
              <w:t>ой</w:t>
            </w:r>
            <w:r w:rsidRPr="0057576B">
              <w:rPr>
                <w:color w:val="000000"/>
              </w:rPr>
              <w:t xml:space="preserve"> </w:t>
            </w:r>
            <w:r>
              <w:rPr>
                <w:color w:val="000000"/>
              </w:rPr>
              <w:t>численности</w:t>
            </w:r>
            <w:r w:rsidRPr="0057576B">
              <w:rPr>
                <w:color w:val="000000"/>
              </w:rPr>
              <w:t xml:space="preserve"> НПР института за год.</w:t>
            </w:r>
          </w:p>
        </w:tc>
        <w:tc>
          <w:tcPr>
            <w:tcW w:w="2552" w:type="dxa"/>
          </w:tcPr>
          <w:p w:rsidR="00BB0B11" w:rsidRPr="0057576B" w:rsidRDefault="00BB0B11" w:rsidP="00F17E43">
            <w:pPr>
              <w:tabs>
                <w:tab w:val="num" w:pos="72"/>
              </w:tabs>
              <w:ind w:left="72"/>
            </w:pPr>
            <w:r w:rsidRPr="0057576B">
              <w:t xml:space="preserve">Эффективность НИОКР выполняемых преподавателями и сотрудниками институтов собственными силами. </w:t>
            </w:r>
          </w:p>
        </w:tc>
        <w:tc>
          <w:tcPr>
            <w:tcW w:w="2126" w:type="dxa"/>
          </w:tcPr>
          <w:p w:rsidR="00BB0B11" w:rsidRPr="0057576B" w:rsidRDefault="00BB0B11" w:rsidP="00F17E43">
            <w:r w:rsidRPr="0057576B">
              <w:t xml:space="preserve">НИЧ </w:t>
            </w:r>
          </w:p>
        </w:tc>
        <w:tc>
          <w:tcPr>
            <w:tcW w:w="893" w:type="dxa"/>
          </w:tcPr>
          <w:p w:rsidR="00BB0B11" w:rsidRPr="0057576B" w:rsidRDefault="00BB0B11" w:rsidP="00F17E43">
            <w:pPr>
              <w:jc w:val="center"/>
            </w:pPr>
            <w:r w:rsidRPr="0057576B">
              <w:t>20</w:t>
            </w:r>
          </w:p>
        </w:tc>
        <w:tc>
          <w:tcPr>
            <w:tcW w:w="893" w:type="dxa"/>
          </w:tcPr>
          <w:p w:rsidR="00BB0B11" w:rsidRPr="0057576B" w:rsidRDefault="00BB0B11" w:rsidP="00F17E43">
            <w:r w:rsidRPr="0057576B">
              <w:t>тыс. руб./ставка</w:t>
            </w:r>
          </w:p>
        </w:tc>
      </w:tr>
      <w:tr w:rsidR="00BB0B11" w:rsidRPr="0057576B" w:rsidTr="00F17E43">
        <w:tc>
          <w:tcPr>
            <w:tcW w:w="335" w:type="dxa"/>
          </w:tcPr>
          <w:p w:rsidR="00BB0B11" w:rsidRPr="0057576B" w:rsidRDefault="00BB0B11" w:rsidP="00F17E43">
            <w:r w:rsidRPr="0057576B">
              <w:t>2</w:t>
            </w:r>
          </w:p>
        </w:tc>
        <w:tc>
          <w:tcPr>
            <w:tcW w:w="3209" w:type="dxa"/>
          </w:tcPr>
          <w:p w:rsidR="00BB0B11" w:rsidRPr="0057576B" w:rsidRDefault="00BB0B11" w:rsidP="00F17E43">
            <w:r w:rsidRPr="0057576B">
              <w:t>Общий объем финансирования научно-исследовательских и опытно-конструкторских работ (научные гранты, проекты, хозяйственные договоры) в институте в течение отчетного года, в расчете на одну ставку НПР института.</w:t>
            </w:r>
          </w:p>
        </w:tc>
        <w:tc>
          <w:tcPr>
            <w:tcW w:w="5670" w:type="dxa"/>
          </w:tcPr>
          <w:p w:rsidR="00BB0B11" w:rsidRPr="0057576B" w:rsidRDefault="00BB0B11" w:rsidP="00F17E43">
            <w:pPr>
              <w:rPr>
                <w:iCs/>
              </w:rPr>
            </w:pPr>
            <w:r w:rsidRPr="0057576B">
              <w:rPr>
                <w:iCs/>
              </w:rPr>
              <w:t>Учитывается полный объем тех грантов, проектов, хозяйственных договоров, финансирование которых осуществлялось через УрФУ.</w:t>
            </w:r>
          </w:p>
          <w:p w:rsidR="00BB0B11" w:rsidRPr="0057576B" w:rsidRDefault="00BB0B11" w:rsidP="00F17E43">
            <w:r w:rsidRPr="0057576B">
              <w:rPr>
                <w:iCs/>
              </w:rPr>
              <w:t xml:space="preserve">Численность ставок НПР равна </w:t>
            </w:r>
            <w:r w:rsidRPr="0057576B">
              <w:rPr>
                <w:color w:val="000000"/>
              </w:rPr>
              <w:t>среднесписочн</w:t>
            </w:r>
            <w:r>
              <w:rPr>
                <w:color w:val="000000"/>
              </w:rPr>
              <w:t>ой</w:t>
            </w:r>
            <w:r w:rsidRPr="0057576B">
              <w:rPr>
                <w:color w:val="000000"/>
              </w:rPr>
              <w:t xml:space="preserve"> </w:t>
            </w:r>
            <w:r>
              <w:rPr>
                <w:color w:val="000000"/>
              </w:rPr>
              <w:t>численности</w:t>
            </w:r>
            <w:r w:rsidRPr="0057576B">
              <w:rPr>
                <w:color w:val="000000"/>
              </w:rPr>
              <w:t xml:space="preserve"> НПР института за год.</w:t>
            </w:r>
          </w:p>
        </w:tc>
        <w:tc>
          <w:tcPr>
            <w:tcW w:w="2552" w:type="dxa"/>
          </w:tcPr>
          <w:p w:rsidR="00BB0B11" w:rsidRPr="0057576B" w:rsidRDefault="00BB0B11" w:rsidP="00F17E43">
            <w:pPr>
              <w:tabs>
                <w:tab w:val="num" w:pos="72"/>
              </w:tabs>
              <w:ind w:left="72"/>
            </w:pPr>
            <w:r w:rsidRPr="0057576B">
              <w:t>Вклад преподавателей и сотрудников институтов в «валовый» объем НИОКР университета.</w:t>
            </w:r>
          </w:p>
        </w:tc>
        <w:tc>
          <w:tcPr>
            <w:tcW w:w="2126" w:type="dxa"/>
          </w:tcPr>
          <w:p w:rsidR="00BB0B11" w:rsidRPr="0057576B" w:rsidRDefault="00BB0B11" w:rsidP="00F17E43">
            <w:r w:rsidRPr="0057576B">
              <w:t>НИЧ</w:t>
            </w:r>
          </w:p>
        </w:tc>
        <w:tc>
          <w:tcPr>
            <w:tcW w:w="893" w:type="dxa"/>
          </w:tcPr>
          <w:p w:rsidR="00BB0B11" w:rsidRPr="0057576B" w:rsidRDefault="00BB0B11" w:rsidP="00F17E43">
            <w:pPr>
              <w:jc w:val="center"/>
            </w:pPr>
            <w:r w:rsidRPr="0057576B">
              <w:t>20</w:t>
            </w:r>
          </w:p>
        </w:tc>
        <w:tc>
          <w:tcPr>
            <w:tcW w:w="893" w:type="dxa"/>
          </w:tcPr>
          <w:p w:rsidR="00BB0B11" w:rsidRPr="0057576B" w:rsidRDefault="00BB0B11" w:rsidP="00F17E43">
            <w:r w:rsidRPr="0057576B">
              <w:t>тыс. руб./ставка</w:t>
            </w:r>
          </w:p>
        </w:tc>
      </w:tr>
      <w:tr w:rsidR="00BB0B11" w:rsidRPr="0057576B" w:rsidTr="00F17E43">
        <w:tc>
          <w:tcPr>
            <w:tcW w:w="335" w:type="dxa"/>
          </w:tcPr>
          <w:p w:rsidR="00BB0B11" w:rsidRPr="0057576B" w:rsidRDefault="00BB0B11" w:rsidP="00F17E43">
            <w:r w:rsidRPr="0057576B">
              <w:t>3</w:t>
            </w:r>
          </w:p>
        </w:tc>
        <w:tc>
          <w:tcPr>
            <w:tcW w:w="3209" w:type="dxa"/>
          </w:tcPr>
          <w:p w:rsidR="00BB0B11" w:rsidRPr="0057576B" w:rsidRDefault="00BB0B11" w:rsidP="00F17E43">
            <w:r w:rsidRPr="0057576B">
              <w:t>Количество статей, опубликованных сотрудниками института в российских и зарубежных научных журналах, индексируемых иностранными организациями (</w:t>
            </w:r>
            <w:r w:rsidRPr="0057576B">
              <w:rPr>
                <w:lang w:val="en-US"/>
              </w:rPr>
              <w:t>Scopus</w:t>
            </w:r>
            <w:r w:rsidRPr="0057576B">
              <w:t xml:space="preserve">, </w:t>
            </w:r>
            <w:r w:rsidRPr="0057576B">
              <w:rPr>
                <w:lang w:val="en-US"/>
              </w:rPr>
              <w:t>Web</w:t>
            </w:r>
            <w:r w:rsidRPr="0057576B">
              <w:t xml:space="preserve"> </w:t>
            </w:r>
            <w:r w:rsidRPr="0057576B">
              <w:rPr>
                <w:lang w:val="en-US"/>
              </w:rPr>
              <w:t>of</w:t>
            </w:r>
            <w:r w:rsidRPr="0057576B">
              <w:t xml:space="preserve"> </w:t>
            </w:r>
            <w:r w:rsidRPr="0057576B">
              <w:rPr>
                <w:lang w:val="en-US"/>
              </w:rPr>
              <w:t>Science</w:t>
            </w:r>
            <w:r w:rsidRPr="0057576B">
              <w:t>), в расчете на одну ставку НПР ин</w:t>
            </w:r>
            <w:r>
              <w:t>ститута</w:t>
            </w:r>
          </w:p>
        </w:tc>
        <w:tc>
          <w:tcPr>
            <w:tcW w:w="5670" w:type="dxa"/>
          </w:tcPr>
          <w:p w:rsidR="00BB0B11" w:rsidRPr="00F53098" w:rsidRDefault="00BB0B11" w:rsidP="00F17E43">
            <w:pPr>
              <w:rPr>
                <w:iCs/>
              </w:rPr>
            </w:pPr>
            <w:r w:rsidRPr="00F53098">
              <w:rPr>
                <w:iCs/>
              </w:rPr>
              <w:t>Учитываются только те статьи, год опубликования которых совпадает с отчетным годом и в которых есть ссылка на УрФУ в качестве одной из организаций, в которых выполнено данное исследование.</w:t>
            </w:r>
          </w:p>
          <w:p w:rsidR="00BB0B11" w:rsidRPr="00F53098" w:rsidRDefault="00BB0B11" w:rsidP="00F17E43">
            <w:pPr>
              <w:rPr>
                <w:color w:val="000000"/>
              </w:rPr>
            </w:pPr>
            <w:r w:rsidRPr="00F53098">
              <w:rPr>
                <w:iCs/>
              </w:rPr>
              <w:t xml:space="preserve">Численность ставок НПР равна </w:t>
            </w:r>
            <w:r w:rsidRPr="00F53098">
              <w:rPr>
                <w:color w:val="000000"/>
              </w:rPr>
              <w:t>среднесписочной численности НПР института за год.</w:t>
            </w:r>
          </w:p>
          <w:p w:rsidR="00BB0B11" w:rsidRPr="00F53098" w:rsidRDefault="00BB0B11" w:rsidP="00F17E43">
            <w:pPr>
              <w:rPr>
                <w:color w:val="000000"/>
              </w:rPr>
            </w:pPr>
            <w:r w:rsidRPr="00F53098">
              <w:t>Статья, написанная в соавторстве с ученым другого института, засчитывается в оба института.</w:t>
            </w:r>
          </w:p>
          <w:p w:rsidR="00BB0B11" w:rsidRPr="00F53098" w:rsidRDefault="00BB0B11" w:rsidP="00F17E43">
            <w:r w:rsidRPr="00F53098">
              <w:t>При спорных случаях решение принимает Комиссия по рейтингу на основании экспертизы ЦМНиО и представления Института.</w:t>
            </w:r>
          </w:p>
        </w:tc>
        <w:tc>
          <w:tcPr>
            <w:tcW w:w="2552" w:type="dxa"/>
          </w:tcPr>
          <w:p w:rsidR="00BB0B11" w:rsidRPr="00F53098" w:rsidRDefault="00BB0B11" w:rsidP="00F17E43">
            <w:pPr>
              <w:tabs>
                <w:tab w:val="num" w:pos="72"/>
              </w:tabs>
              <w:ind w:left="72"/>
            </w:pPr>
            <w:r w:rsidRPr="00F53098">
              <w:t xml:space="preserve">Характеризует публикационную активность сотрудников институтов. </w:t>
            </w:r>
          </w:p>
        </w:tc>
        <w:tc>
          <w:tcPr>
            <w:tcW w:w="2126" w:type="dxa"/>
          </w:tcPr>
          <w:p w:rsidR="00BB0B11" w:rsidRPr="00F53098" w:rsidRDefault="00BB0B11" w:rsidP="00F17E43">
            <w:r w:rsidRPr="00F53098">
              <w:t xml:space="preserve">ЦМНиО </w:t>
            </w:r>
          </w:p>
        </w:tc>
        <w:tc>
          <w:tcPr>
            <w:tcW w:w="893" w:type="dxa"/>
          </w:tcPr>
          <w:p w:rsidR="00BB0B11" w:rsidRPr="0057576B" w:rsidRDefault="00BB0B11" w:rsidP="00F17E43">
            <w:pPr>
              <w:jc w:val="center"/>
            </w:pPr>
            <w:r w:rsidRPr="0057576B">
              <w:t>20</w:t>
            </w:r>
          </w:p>
        </w:tc>
        <w:tc>
          <w:tcPr>
            <w:tcW w:w="893" w:type="dxa"/>
          </w:tcPr>
          <w:p w:rsidR="00BB0B11" w:rsidRPr="0057576B" w:rsidRDefault="00BB0B11" w:rsidP="00F17E43">
            <w:r w:rsidRPr="0057576B">
              <w:t>кол-во/ставка.</w:t>
            </w:r>
          </w:p>
        </w:tc>
      </w:tr>
      <w:tr w:rsidR="00BB0B11" w:rsidRPr="0057576B" w:rsidTr="00F17E43">
        <w:tc>
          <w:tcPr>
            <w:tcW w:w="335" w:type="dxa"/>
          </w:tcPr>
          <w:p w:rsidR="00BB0B11" w:rsidRPr="0057576B" w:rsidRDefault="00BB0B11" w:rsidP="00F17E43">
            <w:r w:rsidRPr="0057576B">
              <w:t>4</w:t>
            </w:r>
          </w:p>
        </w:tc>
        <w:tc>
          <w:tcPr>
            <w:tcW w:w="3209" w:type="dxa"/>
          </w:tcPr>
          <w:p w:rsidR="00BB0B11" w:rsidRPr="0057576B" w:rsidRDefault="00BB0B11" w:rsidP="00F17E43">
            <w:r w:rsidRPr="0057576B">
              <w:t>Доля сотрудников (человек) от общего количества штатных НПР и НПР-совместителей института, имеющих ученые степени и звания, работы которых цитировались более 100 раз в течение последних 7 ле</w:t>
            </w:r>
            <w:r>
              <w:t>т</w:t>
            </w:r>
          </w:p>
        </w:tc>
        <w:tc>
          <w:tcPr>
            <w:tcW w:w="5670" w:type="dxa"/>
          </w:tcPr>
          <w:p w:rsidR="00BB0B11" w:rsidRPr="00F53098" w:rsidRDefault="00BB0B11" w:rsidP="00F17E43">
            <w:r w:rsidRPr="00F53098">
              <w:t>Отношение числа сотрудников (человек), имеющих более 100 цитирований в течение последних семи лет работ, опубликованных за весь предшествующий период, к среднесписочной численности НПР института.</w:t>
            </w:r>
          </w:p>
          <w:p w:rsidR="00BB0B11" w:rsidRPr="00F53098" w:rsidRDefault="00BB0B11" w:rsidP="00F17E43">
            <w:r w:rsidRPr="00F53098">
              <w:t>Сотрудник (человек) имеющий более 100 цитирований течение последних семи лет относится к институту, в котором оформлен по основному месту работы.</w:t>
            </w:r>
          </w:p>
          <w:p w:rsidR="00BB0B11" w:rsidRPr="00F53098" w:rsidRDefault="00BB0B11" w:rsidP="00F17E43">
            <w:r w:rsidRPr="00F53098">
              <w:rPr>
                <w:iCs/>
              </w:rPr>
              <w:t xml:space="preserve">Подсчет цитирований производится по базам данных </w:t>
            </w:r>
            <w:r w:rsidRPr="00F53098">
              <w:rPr>
                <w:iCs/>
                <w:lang w:val="en-US"/>
              </w:rPr>
              <w:t>Scopus</w:t>
            </w:r>
            <w:r w:rsidRPr="00F53098">
              <w:rPr>
                <w:iCs/>
              </w:rPr>
              <w:t xml:space="preserve"> или </w:t>
            </w:r>
            <w:r w:rsidRPr="00F53098">
              <w:rPr>
                <w:iCs/>
                <w:lang w:val="en-US"/>
              </w:rPr>
              <w:t>Web</w:t>
            </w:r>
            <w:r w:rsidRPr="00F53098">
              <w:rPr>
                <w:iCs/>
              </w:rPr>
              <w:t xml:space="preserve"> </w:t>
            </w:r>
            <w:r w:rsidRPr="00F53098">
              <w:rPr>
                <w:iCs/>
                <w:lang w:val="en-US"/>
              </w:rPr>
              <w:t>of</w:t>
            </w:r>
            <w:r w:rsidRPr="00F53098">
              <w:rPr>
                <w:iCs/>
              </w:rPr>
              <w:t xml:space="preserve"> </w:t>
            </w:r>
            <w:r w:rsidRPr="00F53098">
              <w:rPr>
                <w:iCs/>
                <w:lang w:val="en-US"/>
              </w:rPr>
              <w:t>Science</w:t>
            </w:r>
            <w:r w:rsidRPr="00F53098">
              <w:rPr>
                <w:iCs/>
              </w:rPr>
              <w:t xml:space="preserve"> на момент окончания отчетного года.</w:t>
            </w:r>
            <w:r w:rsidRPr="00F53098">
              <w:t xml:space="preserve"> Статья, написанная в соавторстве с ученым другого института, засчитывается в оба института.</w:t>
            </w:r>
          </w:p>
          <w:p w:rsidR="00BB0B11" w:rsidRPr="00F53098" w:rsidRDefault="00BB0B11" w:rsidP="00F17E43">
            <w:pPr>
              <w:rPr>
                <w:iCs/>
              </w:rPr>
            </w:pPr>
            <w:r w:rsidRPr="00F53098">
              <w:t>При спорных случаях решение принимает Комиссия по рейтингу на основании экспертизы ЦМНиО и представления Института.</w:t>
            </w:r>
          </w:p>
        </w:tc>
        <w:tc>
          <w:tcPr>
            <w:tcW w:w="2552" w:type="dxa"/>
          </w:tcPr>
          <w:p w:rsidR="00BB0B11" w:rsidRPr="00F53098" w:rsidRDefault="00BB0B11" w:rsidP="00F17E43">
            <w:pPr>
              <w:tabs>
                <w:tab w:val="num" w:pos="72"/>
              </w:tabs>
              <w:ind w:left="72"/>
            </w:pPr>
            <w:r w:rsidRPr="00F53098">
              <w:t xml:space="preserve">Характеризует эффективность публикационной активности сотрудников институтов. </w:t>
            </w:r>
          </w:p>
        </w:tc>
        <w:tc>
          <w:tcPr>
            <w:tcW w:w="2126" w:type="dxa"/>
          </w:tcPr>
          <w:p w:rsidR="00BB0B11" w:rsidRPr="0057576B" w:rsidRDefault="00BB0B11" w:rsidP="00F17E43">
            <w:r>
              <w:t>Институты</w:t>
            </w:r>
          </w:p>
          <w:p w:rsidR="00BB0B11" w:rsidRPr="0057576B" w:rsidRDefault="00BB0B11" w:rsidP="00F17E43"/>
        </w:tc>
        <w:tc>
          <w:tcPr>
            <w:tcW w:w="893" w:type="dxa"/>
          </w:tcPr>
          <w:p w:rsidR="00BB0B11" w:rsidRPr="0057576B" w:rsidRDefault="00BB0B11" w:rsidP="00F17E43">
            <w:pPr>
              <w:jc w:val="center"/>
            </w:pPr>
            <w:r w:rsidRPr="0057576B">
              <w:t>10</w:t>
            </w:r>
          </w:p>
        </w:tc>
        <w:tc>
          <w:tcPr>
            <w:tcW w:w="893" w:type="dxa"/>
          </w:tcPr>
          <w:p w:rsidR="00BB0B11" w:rsidRPr="0057576B" w:rsidRDefault="00BB0B11" w:rsidP="00F17E43">
            <w:r w:rsidRPr="0057576B">
              <w:t xml:space="preserve">% </w:t>
            </w:r>
          </w:p>
        </w:tc>
      </w:tr>
      <w:tr w:rsidR="00BB0B11" w:rsidRPr="0057576B" w:rsidTr="00F17E43">
        <w:tc>
          <w:tcPr>
            <w:tcW w:w="335" w:type="dxa"/>
          </w:tcPr>
          <w:p w:rsidR="00BB0B11" w:rsidRPr="0057576B" w:rsidRDefault="00BB0B11" w:rsidP="00F17E43">
            <w:r w:rsidRPr="0057576B">
              <w:t>5</w:t>
            </w:r>
          </w:p>
        </w:tc>
        <w:tc>
          <w:tcPr>
            <w:tcW w:w="3209" w:type="dxa"/>
          </w:tcPr>
          <w:p w:rsidR="00BB0B11" w:rsidRPr="0057576B" w:rsidRDefault="00BB0B11" w:rsidP="00F17E43">
            <w:r w:rsidRPr="0057576B">
              <w:t>Эффективность аспирантуры: доля аспирантов, защитивших диссертацию в отчетном году от общего количества, закончивших аспирантуру в отчетном году</w:t>
            </w:r>
          </w:p>
        </w:tc>
        <w:tc>
          <w:tcPr>
            <w:tcW w:w="5670" w:type="dxa"/>
          </w:tcPr>
          <w:p w:rsidR="00BB0B11" w:rsidRPr="0057576B" w:rsidRDefault="00BB0B11" w:rsidP="00F17E43"/>
        </w:tc>
        <w:tc>
          <w:tcPr>
            <w:tcW w:w="2552" w:type="dxa"/>
          </w:tcPr>
          <w:p w:rsidR="00BB0B11" w:rsidRPr="0057576B" w:rsidRDefault="00BB0B11" w:rsidP="00F17E43">
            <w:pPr>
              <w:tabs>
                <w:tab w:val="num" w:pos="72"/>
              </w:tabs>
              <w:ind w:left="72"/>
            </w:pPr>
            <w:r w:rsidRPr="0057576B">
              <w:t>Эффективность подготовки кадров высшей квалификации.</w:t>
            </w:r>
          </w:p>
        </w:tc>
        <w:tc>
          <w:tcPr>
            <w:tcW w:w="2126" w:type="dxa"/>
          </w:tcPr>
          <w:p w:rsidR="00BB0B11" w:rsidRPr="0057576B" w:rsidRDefault="00BB0B11" w:rsidP="00F17E43">
            <w:r w:rsidRPr="0057576B">
              <w:t xml:space="preserve">Отдел аспирантуры. </w:t>
            </w:r>
          </w:p>
        </w:tc>
        <w:tc>
          <w:tcPr>
            <w:tcW w:w="893" w:type="dxa"/>
          </w:tcPr>
          <w:p w:rsidR="00BB0B11" w:rsidRPr="0057576B" w:rsidRDefault="00BB0B11" w:rsidP="00F17E43">
            <w:pPr>
              <w:jc w:val="center"/>
            </w:pPr>
            <w:r w:rsidRPr="0057576B">
              <w:t>15</w:t>
            </w:r>
          </w:p>
        </w:tc>
        <w:tc>
          <w:tcPr>
            <w:tcW w:w="893"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6</w:t>
            </w:r>
          </w:p>
        </w:tc>
        <w:tc>
          <w:tcPr>
            <w:tcW w:w="3209" w:type="dxa"/>
          </w:tcPr>
          <w:p w:rsidR="00BB0B11" w:rsidRPr="0057576B" w:rsidRDefault="00BB0B11" w:rsidP="00F17E43">
            <w:r w:rsidRPr="0057576B">
              <w:t>Количество кандидатских и докторских диссертаций, защищенных в течение отчетного года сотрудниками, аспирантами, докторантами и соискателями института, в расчете на число имеющих прав</w:t>
            </w:r>
            <w:r>
              <w:t>о</w:t>
            </w:r>
            <w:r w:rsidRPr="0057576B">
              <w:t xml:space="preserve"> руководить аспирантами и соискателями в институте</w:t>
            </w:r>
          </w:p>
        </w:tc>
        <w:tc>
          <w:tcPr>
            <w:tcW w:w="5670" w:type="dxa"/>
          </w:tcPr>
          <w:p w:rsidR="00BB0B11" w:rsidRPr="0057576B" w:rsidRDefault="00BB0B11" w:rsidP="00F17E43">
            <w:pPr>
              <w:rPr>
                <w:iCs/>
              </w:rPr>
            </w:pPr>
            <w:r w:rsidRPr="0057576B">
              <w:rPr>
                <w:iCs/>
              </w:rPr>
              <w:t>Защитившиеся аспиранты и соискатели должны быть зачислены приказом в одно из структурных подразделений института. Учет ведется по дате защиты.</w:t>
            </w:r>
          </w:p>
          <w:p w:rsidR="00BB0B11" w:rsidRPr="0057576B" w:rsidRDefault="00BB0B11" w:rsidP="005E7617">
            <w:r>
              <w:t>Учет защит сотрудников</w:t>
            </w:r>
            <w:r w:rsidR="00164E34">
              <w:t>, защитивших диссертации н</w:t>
            </w:r>
            <w:r w:rsidR="005E7617">
              <w:t>е в</w:t>
            </w:r>
            <w:r w:rsidR="00164E34">
              <w:t xml:space="preserve"> диссертационных советах УрФУ,</w:t>
            </w:r>
            <w:r>
              <w:t xml:space="preserve"> производится по дате выдачи диплома Высшей аттестационной комиссией.</w:t>
            </w:r>
          </w:p>
        </w:tc>
        <w:tc>
          <w:tcPr>
            <w:tcW w:w="2552" w:type="dxa"/>
          </w:tcPr>
          <w:p w:rsidR="00BB0B11" w:rsidRPr="0057576B" w:rsidRDefault="00BB0B11" w:rsidP="00F17E43">
            <w:pPr>
              <w:tabs>
                <w:tab w:val="num" w:pos="72"/>
              </w:tabs>
              <w:ind w:left="72"/>
            </w:pPr>
            <w:r w:rsidRPr="0057576B">
              <w:t>Характеризует активность института в подготовке кадров высшей квалификации и эффективность работы руководителей аспирантов и соискателей</w:t>
            </w:r>
          </w:p>
        </w:tc>
        <w:tc>
          <w:tcPr>
            <w:tcW w:w="2126" w:type="dxa"/>
          </w:tcPr>
          <w:p w:rsidR="00BB0B11" w:rsidRPr="0057576B" w:rsidRDefault="00164E34" w:rsidP="00164E34">
            <w:r>
              <w:t>С</w:t>
            </w:r>
            <w:r w:rsidR="00BB0B11" w:rsidRPr="0057576B">
              <w:t>овет</w:t>
            </w:r>
            <w:r>
              <w:t>ы по защитам, отдел</w:t>
            </w:r>
            <w:r w:rsidR="00BB0B11" w:rsidRPr="0057576B">
              <w:t xml:space="preserve"> аспирантуры, упр</w:t>
            </w:r>
            <w:r>
              <w:t>авление</w:t>
            </w:r>
            <w:r w:rsidR="00BB0B11" w:rsidRPr="0057576B">
              <w:t xml:space="preserve"> кадров.</w:t>
            </w:r>
          </w:p>
        </w:tc>
        <w:tc>
          <w:tcPr>
            <w:tcW w:w="893" w:type="dxa"/>
          </w:tcPr>
          <w:p w:rsidR="00BB0B11" w:rsidRPr="0057576B" w:rsidRDefault="00BB0B11" w:rsidP="00F17E43">
            <w:pPr>
              <w:jc w:val="center"/>
            </w:pPr>
            <w:r w:rsidRPr="0057576B">
              <w:t>15</w:t>
            </w:r>
          </w:p>
        </w:tc>
        <w:tc>
          <w:tcPr>
            <w:tcW w:w="893" w:type="dxa"/>
          </w:tcPr>
          <w:p w:rsidR="00BB0B11" w:rsidRPr="0057576B" w:rsidRDefault="00BB0B11" w:rsidP="00F17E43">
            <w:r w:rsidRPr="0057576B">
              <w:t>кол-во/ставка.</w:t>
            </w:r>
          </w:p>
        </w:tc>
      </w:tr>
    </w:tbl>
    <w:p w:rsidR="00BB0B11" w:rsidRPr="001348C2" w:rsidRDefault="00BB0B11" w:rsidP="00F17E43">
      <w:pPr>
        <w:spacing w:before="240"/>
        <w:rPr>
          <w:b/>
          <w:u w:val="single"/>
        </w:rPr>
      </w:pPr>
      <w:r w:rsidRPr="0057576B">
        <w:rPr>
          <w:b/>
          <w:u w:val="single"/>
        </w:rPr>
        <w:t>3. Квалификация кадрового профессорско-преподавательского состава</w:t>
      </w:r>
    </w:p>
    <w:p w:rsidR="00BB0B11" w:rsidRPr="0057576B" w:rsidRDefault="00BB0B11" w:rsidP="00F17E43">
      <w:pPr>
        <w:rPr>
          <w:b/>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3209"/>
        <w:gridCol w:w="5670"/>
        <w:gridCol w:w="2552"/>
        <w:gridCol w:w="2126"/>
        <w:gridCol w:w="850"/>
        <w:gridCol w:w="992"/>
      </w:tblGrid>
      <w:tr w:rsidR="00BB0B11" w:rsidRPr="0057576B" w:rsidTr="00F17E43">
        <w:trPr>
          <w:tblHeader/>
        </w:trPr>
        <w:tc>
          <w:tcPr>
            <w:tcW w:w="335" w:type="dxa"/>
            <w:shd w:val="clear" w:color="auto" w:fill="D9D9D9"/>
            <w:vAlign w:val="center"/>
          </w:tcPr>
          <w:p w:rsidR="00BB0B11" w:rsidRPr="0057576B" w:rsidRDefault="00BB0B11" w:rsidP="00F17E43">
            <w:pPr>
              <w:jc w:val="center"/>
              <w:rPr>
                <w:b/>
              </w:rPr>
            </w:pPr>
          </w:p>
        </w:tc>
        <w:tc>
          <w:tcPr>
            <w:tcW w:w="3209" w:type="dxa"/>
            <w:shd w:val="clear" w:color="auto" w:fill="D9D9D9"/>
            <w:vAlign w:val="center"/>
          </w:tcPr>
          <w:p w:rsidR="00BB0B11" w:rsidRPr="0057576B" w:rsidRDefault="00BB0B11" w:rsidP="00F17E43">
            <w:pPr>
              <w:jc w:val="center"/>
              <w:rPr>
                <w:b/>
              </w:rPr>
            </w:pPr>
            <w:r w:rsidRPr="0057576B">
              <w:rPr>
                <w:b/>
              </w:rPr>
              <w:t>Показатель</w:t>
            </w:r>
          </w:p>
        </w:tc>
        <w:tc>
          <w:tcPr>
            <w:tcW w:w="5670" w:type="dxa"/>
            <w:shd w:val="clear" w:color="auto" w:fill="D9D9D9"/>
            <w:vAlign w:val="center"/>
          </w:tcPr>
          <w:p w:rsidR="00BB0B11" w:rsidRPr="0057576B" w:rsidRDefault="00BB0B11" w:rsidP="00F17E43">
            <w:pPr>
              <w:jc w:val="center"/>
              <w:rPr>
                <w:b/>
              </w:rPr>
            </w:pPr>
            <w:r w:rsidRPr="0057576B">
              <w:rPr>
                <w:b/>
              </w:rPr>
              <w:t xml:space="preserve">Учитываемые элементы, </w:t>
            </w:r>
          </w:p>
          <w:p w:rsidR="00BB0B11" w:rsidRPr="0057576B" w:rsidRDefault="00BB0B11" w:rsidP="00F17E43">
            <w:pPr>
              <w:jc w:val="center"/>
              <w:rPr>
                <w:b/>
              </w:rPr>
            </w:pPr>
            <w:r w:rsidRPr="0057576B">
              <w:rPr>
                <w:b/>
              </w:rPr>
              <w:t>способ расчета</w:t>
            </w:r>
          </w:p>
        </w:tc>
        <w:tc>
          <w:tcPr>
            <w:tcW w:w="2552" w:type="dxa"/>
            <w:shd w:val="clear" w:color="auto" w:fill="D9D9D9"/>
            <w:vAlign w:val="center"/>
          </w:tcPr>
          <w:p w:rsidR="00BB0B11" w:rsidRPr="0057576B" w:rsidRDefault="00BB0B11" w:rsidP="00F17E43">
            <w:pPr>
              <w:jc w:val="center"/>
              <w:rPr>
                <w:b/>
              </w:rPr>
            </w:pPr>
            <w:r w:rsidRPr="0057576B">
              <w:rPr>
                <w:b/>
              </w:rPr>
              <w:t xml:space="preserve">Обоснование, </w:t>
            </w:r>
          </w:p>
          <w:p w:rsidR="00BB0B11" w:rsidRPr="0057576B" w:rsidRDefault="00BB0B11" w:rsidP="00F17E43">
            <w:pPr>
              <w:jc w:val="center"/>
              <w:rPr>
                <w:b/>
              </w:rPr>
            </w:pPr>
            <w:r w:rsidRPr="0057576B">
              <w:rPr>
                <w:b/>
              </w:rPr>
              <w:t>как влияет на развитие</w:t>
            </w:r>
          </w:p>
        </w:tc>
        <w:tc>
          <w:tcPr>
            <w:tcW w:w="2126" w:type="dxa"/>
            <w:shd w:val="clear" w:color="auto" w:fill="D9D9D9"/>
            <w:vAlign w:val="center"/>
          </w:tcPr>
          <w:p w:rsidR="00BB0B11" w:rsidRPr="0057576B" w:rsidRDefault="00BB0B11" w:rsidP="00F17E43">
            <w:pPr>
              <w:jc w:val="center"/>
              <w:rPr>
                <w:b/>
              </w:rPr>
            </w:pPr>
            <w:r w:rsidRPr="0057576B">
              <w:rPr>
                <w:b/>
              </w:rPr>
              <w:t>Источник информации</w:t>
            </w:r>
          </w:p>
        </w:tc>
        <w:tc>
          <w:tcPr>
            <w:tcW w:w="850" w:type="dxa"/>
            <w:shd w:val="clear" w:color="auto" w:fill="D9D9D9"/>
            <w:vAlign w:val="center"/>
          </w:tcPr>
          <w:p w:rsidR="00BB0B11" w:rsidRPr="0057576B" w:rsidRDefault="00BB0B11" w:rsidP="00F17E43">
            <w:pPr>
              <w:jc w:val="center"/>
            </w:pPr>
            <w:r w:rsidRPr="0057576B">
              <w:rPr>
                <w:b/>
              </w:rPr>
              <w:t>Вес</w:t>
            </w:r>
          </w:p>
        </w:tc>
        <w:tc>
          <w:tcPr>
            <w:tcW w:w="992" w:type="dxa"/>
            <w:shd w:val="clear" w:color="auto" w:fill="D9D9D9"/>
            <w:vAlign w:val="center"/>
          </w:tcPr>
          <w:p w:rsidR="00BB0B11" w:rsidRPr="0057576B" w:rsidRDefault="00BB0B11" w:rsidP="00F17E43">
            <w:pPr>
              <w:jc w:val="center"/>
              <w:rPr>
                <w:b/>
              </w:rPr>
            </w:pPr>
            <w:r w:rsidRPr="0057576B">
              <w:rPr>
                <w:b/>
              </w:rPr>
              <w:t>ед. изм.</w:t>
            </w:r>
          </w:p>
        </w:tc>
      </w:tr>
      <w:tr w:rsidR="00BB0B11" w:rsidRPr="0057576B" w:rsidTr="00F17E43">
        <w:tc>
          <w:tcPr>
            <w:tcW w:w="335" w:type="dxa"/>
          </w:tcPr>
          <w:p w:rsidR="00BB0B11" w:rsidRPr="0057576B" w:rsidRDefault="00BB0B11" w:rsidP="00F17E43">
            <w:r w:rsidRPr="0057576B">
              <w:t>1</w:t>
            </w:r>
          </w:p>
        </w:tc>
        <w:tc>
          <w:tcPr>
            <w:tcW w:w="3209" w:type="dxa"/>
          </w:tcPr>
          <w:p w:rsidR="00BB0B11" w:rsidRPr="0057576B" w:rsidRDefault="00BB0B11" w:rsidP="00F17E43">
            <w:r w:rsidRPr="0057576B">
              <w:t>Остепененность, доля преподавателей (человек), имеющих ученые степени доктора и кандидата наук, от общего числа штатных преподавателей и преподавателей-совместителей института.</w:t>
            </w:r>
          </w:p>
        </w:tc>
        <w:tc>
          <w:tcPr>
            <w:tcW w:w="5670" w:type="dxa"/>
          </w:tcPr>
          <w:p w:rsidR="00BB0B11" w:rsidRPr="0057576B" w:rsidRDefault="00BB0B11" w:rsidP="00F17E43">
            <w:r>
              <w:rPr>
                <w:color w:val="000000"/>
              </w:rPr>
              <w:t>Отношение с</w:t>
            </w:r>
            <w:r w:rsidRPr="0057576B">
              <w:rPr>
                <w:color w:val="000000"/>
              </w:rPr>
              <w:t>ред</w:t>
            </w:r>
            <w:r>
              <w:rPr>
                <w:color w:val="000000"/>
              </w:rPr>
              <w:t>несписочной численности</w:t>
            </w:r>
            <w:r w:rsidRPr="0057576B">
              <w:rPr>
                <w:color w:val="000000"/>
              </w:rPr>
              <w:t xml:space="preserve"> ППС</w:t>
            </w:r>
            <w:r>
              <w:rPr>
                <w:color w:val="000000"/>
              </w:rPr>
              <w:t xml:space="preserve"> института со степенью к</w:t>
            </w:r>
            <w:r w:rsidRPr="0057576B">
              <w:rPr>
                <w:color w:val="000000"/>
              </w:rPr>
              <w:t xml:space="preserve"> сред</w:t>
            </w:r>
            <w:r>
              <w:rPr>
                <w:color w:val="000000"/>
              </w:rPr>
              <w:t>несписочной численности</w:t>
            </w:r>
            <w:r w:rsidRPr="0057576B">
              <w:rPr>
                <w:color w:val="000000"/>
              </w:rPr>
              <w:t xml:space="preserve"> ППС института за </w:t>
            </w:r>
            <w:r>
              <w:rPr>
                <w:color w:val="000000"/>
              </w:rPr>
              <w:t xml:space="preserve">отчетный </w:t>
            </w:r>
            <w:r w:rsidRPr="0057576B">
              <w:rPr>
                <w:color w:val="000000"/>
              </w:rPr>
              <w:t>год</w:t>
            </w:r>
            <w:r>
              <w:rPr>
                <w:color w:val="000000"/>
              </w:rPr>
              <w:t>.</w:t>
            </w:r>
          </w:p>
        </w:tc>
        <w:tc>
          <w:tcPr>
            <w:tcW w:w="2552" w:type="dxa"/>
          </w:tcPr>
          <w:p w:rsidR="00BB0B11" w:rsidRPr="0057576B" w:rsidRDefault="00BB0B11" w:rsidP="00F17E43">
            <w:pPr>
              <w:tabs>
                <w:tab w:val="num" w:pos="72"/>
              </w:tabs>
              <w:ind w:left="72"/>
            </w:pPr>
            <w:r w:rsidRPr="0057576B">
              <w:t>Уровень квалификации кадров ППС</w:t>
            </w:r>
          </w:p>
        </w:tc>
        <w:tc>
          <w:tcPr>
            <w:tcW w:w="2126" w:type="dxa"/>
          </w:tcPr>
          <w:p w:rsidR="00BB0B11" w:rsidRPr="0057576B" w:rsidRDefault="00BB0B11" w:rsidP="00F17E43">
            <w:r w:rsidRPr="0057576B">
              <w:t>Управление кадров (УК)</w:t>
            </w:r>
          </w:p>
        </w:tc>
        <w:tc>
          <w:tcPr>
            <w:tcW w:w="850" w:type="dxa"/>
          </w:tcPr>
          <w:p w:rsidR="00BB0B11" w:rsidRPr="0057576B" w:rsidRDefault="00BB0B11" w:rsidP="00F17E43">
            <w:pPr>
              <w:jc w:val="center"/>
            </w:pPr>
            <w:r w:rsidRPr="0057576B">
              <w:t>30</w:t>
            </w:r>
          </w:p>
        </w:tc>
        <w:tc>
          <w:tcPr>
            <w:tcW w:w="992" w:type="dxa"/>
          </w:tcPr>
          <w:p w:rsidR="00BB0B11" w:rsidRPr="0057576B" w:rsidRDefault="00BB0B11" w:rsidP="00F17E43">
            <w:r w:rsidRPr="0057576B">
              <w:t xml:space="preserve">% </w:t>
            </w:r>
          </w:p>
        </w:tc>
      </w:tr>
      <w:tr w:rsidR="00BB0B11" w:rsidRPr="0057576B" w:rsidTr="00F17E43">
        <w:tc>
          <w:tcPr>
            <w:tcW w:w="335" w:type="dxa"/>
          </w:tcPr>
          <w:p w:rsidR="00BB0B11" w:rsidRPr="0057576B" w:rsidRDefault="00BB0B11" w:rsidP="00F17E43">
            <w:r w:rsidRPr="0057576B">
              <w:t>2</w:t>
            </w:r>
          </w:p>
        </w:tc>
        <w:tc>
          <w:tcPr>
            <w:tcW w:w="3209" w:type="dxa"/>
          </w:tcPr>
          <w:p w:rsidR="00BB0B11" w:rsidRPr="0057576B" w:rsidRDefault="00BB0B11" w:rsidP="00F17E43">
            <w:r w:rsidRPr="0057576B">
              <w:t>Доля НПР (человек), имеющих опыт работы и/или прошедших стажировки в зарубежных вузах или исследовательских организациях, от общего числа НПР института, включая совместителей.</w:t>
            </w:r>
          </w:p>
        </w:tc>
        <w:tc>
          <w:tcPr>
            <w:tcW w:w="5670" w:type="dxa"/>
          </w:tcPr>
          <w:p w:rsidR="00BB0B11" w:rsidRPr="0057576B" w:rsidRDefault="00BB0B11" w:rsidP="00F17E43">
            <w:pPr>
              <w:rPr>
                <w:iCs/>
              </w:rPr>
            </w:pPr>
            <w:r w:rsidRPr="0057576B">
              <w:rPr>
                <w:iCs/>
              </w:rPr>
              <w:t xml:space="preserve">Не менее одного года в </w:t>
            </w:r>
            <w:r w:rsidRPr="00F53098">
              <w:rPr>
                <w:iCs/>
              </w:rPr>
              <w:t>одной научно-образовательной организации либо</w:t>
            </w:r>
            <w:r w:rsidRPr="0057576B">
              <w:rPr>
                <w:iCs/>
              </w:rPr>
              <w:t xml:space="preserve"> совокупно провели не менее 1-го месяца в зарубежных вузах или исследовательских организациях за последние 5 лет, включая участие в зарубежных конференциях.</w:t>
            </w:r>
          </w:p>
          <w:p w:rsidR="00BB0B11" w:rsidRPr="0057576B" w:rsidRDefault="00BB0B11" w:rsidP="00F17E43">
            <w:pPr>
              <w:rPr>
                <w:iCs/>
              </w:rPr>
            </w:pPr>
            <w:r w:rsidRPr="0057576B">
              <w:rPr>
                <w:iCs/>
              </w:rPr>
              <w:t>Подтверждение:</w:t>
            </w:r>
          </w:p>
          <w:p w:rsidR="00BB0B11" w:rsidRPr="0057576B" w:rsidRDefault="00BB0B11" w:rsidP="00F17E43">
            <w:pPr>
              <w:rPr>
                <w:iCs/>
              </w:rPr>
            </w:pPr>
            <w:r w:rsidRPr="0057576B">
              <w:rPr>
                <w:iCs/>
              </w:rPr>
              <w:t>Наличие  докладов на конференциях.</w:t>
            </w:r>
          </w:p>
          <w:p w:rsidR="00BB0B11" w:rsidRPr="0057576B" w:rsidRDefault="00BB0B11" w:rsidP="00F17E43">
            <w:pPr>
              <w:rPr>
                <w:iCs/>
              </w:rPr>
            </w:pPr>
            <w:r w:rsidRPr="0057576B">
              <w:rPr>
                <w:iCs/>
              </w:rPr>
              <w:t>Совместная статья с участием представителя принимающей организации за отчетный период.</w:t>
            </w:r>
          </w:p>
          <w:p w:rsidR="00BB0B11" w:rsidRPr="0057576B" w:rsidRDefault="00BB0B11" w:rsidP="00F17E43">
            <w:pPr>
              <w:rPr>
                <w:iCs/>
              </w:rPr>
            </w:pPr>
            <w:r w:rsidRPr="0057576B">
              <w:rPr>
                <w:iCs/>
              </w:rPr>
              <w:t>Отзыв руководителя стажировки или руководителя учебного подразделения.</w:t>
            </w:r>
          </w:p>
          <w:p w:rsidR="00BB0B11" w:rsidRPr="0057576B" w:rsidRDefault="00BB0B11" w:rsidP="00F17E43">
            <w:pPr>
              <w:rPr>
                <w:iCs/>
              </w:rPr>
            </w:pPr>
            <w:r w:rsidRPr="0057576B">
              <w:rPr>
                <w:iCs/>
              </w:rPr>
              <w:t xml:space="preserve">Численность ставок НПР равна </w:t>
            </w:r>
            <w:r w:rsidRPr="0057576B">
              <w:rPr>
                <w:color w:val="000000"/>
              </w:rPr>
              <w:t>среднесписочному составу НПР института за год. Среднесписочный состав включает внешних совместителей.</w:t>
            </w:r>
          </w:p>
        </w:tc>
        <w:tc>
          <w:tcPr>
            <w:tcW w:w="2552" w:type="dxa"/>
          </w:tcPr>
          <w:p w:rsidR="00BB0B11" w:rsidRPr="0057576B" w:rsidRDefault="00BB0B11" w:rsidP="00F17E43">
            <w:pPr>
              <w:tabs>
                <w:tab w:val="num" w:pos="72"/>
              </w:tabs>
              <w:ind w:left="72"/>
            </w:pPr>
            <w:r w:rsidRPr="0057576B">
              <w:t>Уровень квалификации кадров ППС по шкале международного опыта</w:t>
            </w:r>
          </w:p>
        </w:tc>
        <w:tc>
          <w:tcPr>
            <w:tcW w:w="2126" w:type="dxa"/>
          </w:tcPr>
          <w:p w:rsidR="00BB0B11" w:rsidRPr="0057576B" w:rsidRDefault="00BB0B11" w:rsidP="00F17E43">
            <w:r w:rsidRPr="0057576B">
              <w:t>Институты</w:t>
            </w:r>
          </w:p>
        </w:tc>
        <w:tc>
          <w:tcPr>
            <w:tcW w:w="850" w:type="dxa"/>
          </w:tcPr>
          <w:p w:rsidR="00BB0B11" w:rsidRPr="0057576B" w:rsidRDefault="00BB0B11" w:rsidP="00F17E43">
            <w:pPr>
              <w:jc w:val="center"/>
            </w:pPr>
            <w:r w:rsidRPr="0057576B">
              <w:t>15</w:t>
            </w:r>
          </w:p>
        </w:tc>
        <w:tc>
          <w:tcPr>
            <w:tcW w:w="992"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3</w:t>
            </w:r>
          </w:p>
        </w:tc>
        <w:tc>
          <w:tcPr>
            <w:tcW w:w="3209" w:type="dxa"/>
          </w:tcPr>
          <w:p w:rsidR="00BB0B11" w:rsidRPr="0057576B" w:rsidRDefault="00BB0B11" w:rsidP="00F17E43">
            <w:r w:rsidRPr="0057576B">
              <w:t>Средний возраст преподавателей – докторов наук (человек) в институте, при условии, что сотрудник трудоустроен в институте по основному месту работы, независимо от долей занимаемых ставок.</w:t>
            </w:r>
          </w:p>
        </w:tc>
        <w:tc>
          <w:tcPr>
            <w:tcW w:w="5670" w:type="dxa"/>
          </w:tcPr>
          <w:p w:rsidR="00BB0B11" w:rsidRPr="0057576B" w:rsidRDefault="00BB0B11" w:rsidP="00F17E43">
            <w:pPr>
              <w:rPr>
                <w:iCs/>
              </w:rPr>
            </w:pPr>
            <w:r w:rsidRPr="0057576B">
              <w:rPr>
                <w:iCs/>
              </w:rPr>
              <w:t>Рассчитывается на момент окончания отчетного года.</w:t>
            </w:r>
          </w:p>
          <w:p w:rsidR="00BB0B11" w:rsidRPr="0057576B" w:rsidRDefault="00BB0B11" w:rsidP="00F17E43"/>
          <w:p w:rsidR="00BB0B11" w:rsidRPr="0057576B" w:rsidRDefault="00BB0B11" w:rsidP="00F17E43"/>
        </w:tc>
        <w:tc>
          <w:tcPr>
            <w:tcW w:w="2552" w:type="dxa"/>
          </w:tcPr>
          <w:p w:rsidR="00BB0B11" w:rsidRPr="0057576B" w:rsidRDefault="00BB0B11" w:rsidP="00F17E43">
            <w:pPr>
              <w:tabs>
                <w:tab w:val="num" w:pos="72"/>
              </w:tabs>
              <w:ind w:left="72"/>
            </w:pPr>
            <w:r w:rsidRPr="0057576B">
              <w:t>Устойчивость динамики кадрового состава</w:t>
            </w:r>
          </w:p>
        </w:tc>
        <w:tc>
          <w:tcPr>
            <w:tcW w:w="2126" w:type="dxa"/>
          </w:tcPr>
          <w:p w:rsidR="00BB0B11" w:rsidRPr="0057576B" w:rsidRDefault="00BB0B11" w:rsidP="00F17E43">
            <w:r w:rsidRPr="0057576B">
              <w:t>УК</w:t>
            </w:r>
          </w:p>
        </w:tc>
        <w:tc>
          <w:tcPr>
            <w:tcW w:w="850" w:type="dxa"/>
          </w:tcPr>
          <w:p w:rsidR="00BB0B11" w:rsidRPr="0057576B" w:rsidRDefault="00BB0B11" w:rsidP="00F17E43">
            <w:pPr>
              <w:jc w:val="center"/>
            </w:pPr>
            <w:r w:rsidRPr="0057576B">
              <w:t>20</w:t>
            </w:r>
          </w:p>
        </w:tc>
        <w:tc>
          <w:tcPr>
            <w:tcW w:w="992" w:type="dxa"/>
          </w:tcPr>
          <w:p w:rsidR="00BB0B11" w:rsidRPr="0057576B" w:rsidRDefault="00BB0B11" w:rsidP="00F17E43">
            <w:r w:rsidRPr="0057576B">
              <w:t>лет</w:t>
            </w:r>
          </w:p>
        </w:tc>
      </w:tr>
      <w:tr w:rsidR="00BB0B11" w:rsidRPr="0057576B" w:rsidTr="00F17E43">
        <w:tc>
          <w:tcPr>
            <w:tcW w:w="335" w:type="dxa"/>
          </w:tcPr>
          <w:p w:rsidR="00BB0B11" w:rsidRPr="0057576B" w:rsidRDefault="00BB0B11" w:rsidP="00F17E43">
            <w:r w:rsidRPr="0057576B">
              <w:t>4</w:t>
            </w:r>
          </w:p>
        </w:tc>
        <w:tc>
          <w:tcPr>
            <w:tcW w:w="3209" w:type="dxa"/>
          </w:tcPr>
          <w:p w:rsidR="00BB0B11" w:rsidRPr="0057576B" w:rsidRDefault="00BB0B11" w:rsidP="00F17E43">
            <w:r w:rsidRPr="0057576B">
              <w:t>Средний возраст преподавателей – кандидатов наук (человек) в институте, при условии, что сотрудник трудоустроен в институте по основному месту работы, независимо от долей занимаемых ставок.</w:t>
            </w:r>
          </w:p>
        </w:tc>
        <w:tc>
          <w:tcPr>
            <w:tcW w:w="5670" w:type="dxa"/>
          </w:tcPr>
          <w:p w:rsidR="00BB0B11" w:rsidRPr="0057576B" w:rsidRDefault="00BB0B11" w:rsidP="00F17E43">
            <w:pPr>
              <w:rPr>
                <w:iCs/>
              </w:rPr>
            </w:pPr>
            <w:r w:rsidRPr="0057576B">
              <w:rPr>
                <w:iCs/>
              </w:rPr>
              <w:t>Рассчитывается на момент окончания отчетного года.</w:t>
            </w:r>
          </w:p>
          <w:p w:rsidR="00BB0B11" w:rsidRPr="0057576B" w:rsidRDefault="00BB0B11" w:rsidP="00F17E43"/>
          <w:p w:rsidR="00BB0B11" w:rsidRPr="0057576B" w:rsidRDefault="00BB0B11" w:rsidP="00F17E43"/>
        </w:tc>
        <w:tc>
          <w:tcPr>
            <w:tcW w:w="2552" w:type="dxa"/>
          </w:tcPr>
          <w:p w:rsidR="00BB0B11" w:rsidRPr="0057576B" w:rsidRDefault="00BB0B11" w:rsidP="00F17E43">
            <w:pPr>
              <w:tabs>
                <w:tab w:val="num" w:pos="72"/>
              </w:tabs>
              <w:ind w:left="72"/>
            </w:pPr>
            <w:r w:rsidRPr="0057576B">
              <w:t>Устойчивость динамики кадрового состава</w:t>
            </w:r>
          </w:p>
        </w:tc>
        <w:tc>
          <w:tcPr>
            <w:tcW w:w="2126" w:type="dxa"/>
          </w:tcPr>
          <w:p w:rsidR="00BB0B11" w:rsidRPr="0057576B" w:rsidRDefault="00BB0B11" w:rsidP="00F17E43">
            <w:r w:rsidRPr="0057576B">
              <w:t>УК</w:t>
            </w:r>
          </w:p>
        </w:tc>
        <w:tc>
          <w:tcPr>
            <w:tcW w:w="850" w:type="dxa"/>
          </w:tcPr>
          <w:p w:rsidR="00BB0B11" w:rsidRPr="0057576B" w:rsidRDefault="00BB0B11" w:rsidP="00F17E43">
            <w:pPr>
              <w:jc w:val="center"/>
            </w:pPr>
            <w:r w:rsidRPr="0057576B">
              <w:t>20</w:t>
            </w:r>
          </w:p>
        </w:tc>
        <w:tc>
          <w:tcPr>
            <w:tcW w:w="992" w:type="dxa"/>
          </w:tcPr>
          <w:p w:rsidR="00BB0B11" w:rsidRPr="0057576B" w:rsidRDefault="00BB0B11" w:rsidP="00F17E43">
            <w:r w:rsidRPr="0057576B">
              <w:t>лет</w:t>
            </w:r>
          </w:p>
        </w:tc>
      </w:tr>
      <w:tr w:rsidR="00BB0B11" w:rsidRPr="0057576B" w:rsidTr="00F17E43">
        <w:tc>
          <w:tcPr>
            <w:tcW w:w="335" w:type="dxa"/>
          </w:tcPr>
          <w:p w:rsidR="00BB0B11" w:rsidRPr="0057576B" w:rsidRDefault="00BB0B11" w:rsidP="00F17E43">
            <w:r w:rsidRPr="0057576B">
              <w:t>5</w:t>
            </w:r>
          </w:p>
        </w:tc>
        <w:tc>
          <w:tcPr>
            <w:tcW w:w="3209" w:type="dxa"/>
          </w:tcPr>
          <w:p w:rsidR="00BB0B11" w:rsidRPr="0057576B" w:rsidRDefault="00BB0B11" w:rsidP="00F17E43">
            <w:r w:rsidRPr="0057576B">
              <w:t>Количество аспирантов и соискателей в институте в расчете на одну ставку ППС института.</w:t>
            </w:r>
          </w:p>
        </w:tc>
        <w:tc>
          <w:tcPr>
            <w:tcW w:w="5670" w:type="dxa"/>
          </w:tcPr>
          <w:p w:rsidR="00BB0B11" w:rsidRPr="0057576B" w:rsidRDefault="00BB0B11" w:rsidP="00F17E43">
            <w:pPr>
              <w:rPr>
                <w:iCs/>
              </w:rPr>
            </w:pPr>
            <w:r w:rsidRPr="0057576B">
              <w:rPr>
                <w:iCs/>
              </w:rPr>
              <w:t>Аспиранты и соискатели должны быть зачислены приказом в одно из структурных подразделений института. Учет ведется на момент окончания отчетного года.</w:t>
            </w:r>
          </w:p>
          <w:p w:rsidR="00BB0B11" w:rsidRPr="0057576B" w:rsidRDefault="00BB0B11" w:rsidP="00F17E43">
            <w:r w:rsidRPr="0057576B">
              <w:rPr>
                <w:iCs/>
              </w:rPr>
              <w:t xml:space="preserve">Численность ставок ППС равна </w:t>
            </w:r>
            <w:r w:rsidRPr="0057576B">
              <w:rPr>
                <w:color w:val="000000"/>
              </w:rPr>
              <w:t>сред</w:t>
            </w:r>
            <w:r>
              <w:rPr>
                <w:color w:val="000000"/>
              </w:rPr>
              <w:t>несписочной численности</w:t>
            </w:r>
            <w:r w:rsidRPr="0057576B">
              <w:rPr>
                <w:color w:val="000000"/>
              </w:rPr>
              <w:t xml:space="preserve"> ППС института за год  </w:t>
            </w:r>
          </w:p>
        </w:tc>
        <w:tc>
          <w:tcPr>
            <w:tcW w:w="2552" w:type="dxa"/>
          </w:tcPr>
          <w:p w:rsidR="00BB0B11" w:rsidRPr="0057576B" w:rsidRDefault="00BB0B11" w:rsidP="00F17E43">
            <w:pPr>
              <w:tabs>
                <w:tab w:val="num" w:pos="72"/>
              </w:tabs>
              <w:ind w:left="72"/>
            </w:pPr>
            <w:r w:rsidRPr="0057576B">
              <w:t>Перспективы омоложения состава кадров высшей квалификации, перспективы увеличения «остепененности»</w:t>
            </w:r>
          </w:p>
        </w:tc>
        <w:tc>
          <w:tcPr>
            <w:tcW w:w="2126" w:type="dxa"/>
          </w:tcPr>
          <w:p w:rsidR="00BB0B11" w:rsidRPr="0057576B" w:rsidRDefault="00BB0B11" w:rsidP="00F17E43">
            <w:r w:rsidRPr="0057576B">
              <w:t>НИЧ</w:t>
            </w:r>
          </w:p>
          <w:p w:rsidR="00BB0B11" w:rsidRPr="0057576B" w:rsidRDefault="00BB0B11" w:rsidP="00F17E43">
            <w:r w:rsidRPr="0057576B">
              <w:t>ПФУ</w:t>
            </w:r>
          </w:p>
        </w:tc>
        <w:tc>
          <w:tcPr>
            <w:tcW w:w="850" w:type="dxa"/>
          </w:tcPr>
          <w:p w:rsidR="00BB0B11" w:rsidRPr="0057576B" w:rsidRDefault="00BB0B11" w:rsidP="00F17E43">
            <w:pPr>
              <w:jc w:val="center"/>
            </w:pPr>
            <w:r w:rsidRPr="0057576B">
              <w:t>15</w:t>
            </w:r>
          </w:p>
        </w:tc>
        <w:tc>
          <w:tcPr>
            <w:tcW w:w="992" w:type="dxa"/>
          </w:tcPr>
          <w:p w:rsidR="00BB0B11" w:rsidRPr="0057576B" w:rsidRDefault="00BB0B11" w:rsidP="00F17E43">
            <w:r w:rsidRPr="0057576B">
              <w:t>человек/ставка</w:t>
            </w:r>
          </w:p>
        </w:tc>
      </w:tr>
    </w:tbl>
    <w:p w:rsidR="00BB0B11" w:rsidRPr="0057576B" w:rsidRDefault="00BB0B11" w:rsidP="00F17E43">
      <w:pPr>
        <w:rPr>
          <w:b/>
        </w:rPr>
      </w:pPr>
    </w:p>
    <w:p w:rsidR="00BB0B11" w:rsidRPr="0057576B" w:rsidRDefault="00BB0B11" w:rsidP="00F17E43">
      <w:pPr>
        <w:rPr>
          <w:b/>
          <w:u w:val="single"/>
          <w:lang w:val="en-US"/>
        </w:rPr>
      </w:pPr>
      <w:r w:rsidRPr="0057576B">
        <w:rPr>
          <w:b/>
          <w:u w:val="single"/>
        </w:rPr>
        <w:t>4. Инновационная деятельность</w:t>
      </w:r>
    </w:p>
    <w:p w:rsidR="00BB0B11" w:rsidRPr="0057576B" w:rsidRDefault="00BB0B11" w:rsidP="00F17E43">
      <w:pPr>
        <w:rPr>
          <w:b/>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3209"/>
        <w:gridCol w:w="5670"/>
        <w:gridCol w:w="2552"/>
        <w:gridCol w:w="2126"/>
        <w:gridCol w:w="851"/>
        <w:gridCol w:w="992"/>
      </w:tblGrid>
      <w:tr w:rsidR="00BB0B11" w:rsidRPr="0057576B" w:rsidTr="00F17E43">
        <w:trPr>
          <w:tblHeader/>
        </w:trPr>
        <w:tc>
          <w:tcPr>
            <w:tcW w:w="335" w:type="dxa"/>
            <w:shd w:val="clear" w:color="auto" w:fill="D9D9D9"/>
            <w:vAlign w:val="center"/>
          </w:tcPr>
          <w:p w:rsidR="00BB0B11" w:rsidRPr="0057576B" w:rsidRDefault="00BB0B11" w:rsidP="00F17E43">
            <w:pPr>
              <w:jc w:val="center"/>
              <w:rPr>
                <w:b/>
              </w:rPr>
            </w:pPr>
          </w:p>
        </w:tc>
        <w:tc>
          <w:tcPr>
            <w:tcW w:w="3209" w:type="dxa"/>
            <w:shd w:val="clear" w:color="auto" w:fill="D9D9D9"/>
            <w:vAlign w:val="center"/>
          </w:tcPr>
          <w:p w:rsidR="00BB0B11" w:rsidRPr="0057576B" w:rsidRDefault="00BB0B11" w:rsidP="00F17E43">
            <w:pPr>
              <w:jc w:val="center"/>
              <w:rPr>
                <w:b/>
              </w:rPr>
            </w:pPr>
            <w:r w:rsidRPr="0057576B">
              <w:rPr>
                <w:b/>
              </w:rPr>
              <w:t>Показатель</w:t>
            </w:r>
          </w:p>
        </w:tc>
        <w:tc>
          <w:tcPr>
            <w:tcW w:w="5670" w:type="dxa"/>
            <w:shd w:val="clear" w:color="auto" w:fill="D9D9D9"/>
            <w:vAlign w:val="center"/>
          </w:tcPr>
          <w:p w:rsidR="00BB0B11" w:rsidRPr="0057576B" w:rsidRDefault="00BB0B11" w:rsidP="00F17E43">
            <w:pPr>
              <w:jc w:val="center"/>
              <w:rPr>
                <w:b/>
              </w:rPr>
            </w:pPr>
            <w:r w:rsidRPr="0057576B">
              <w:rPr>
                <w:b/>
              </w:rPr>
              <w:t xml:space="preserve">Учитываемые элементы, </w:t>
            </w:r>
          </w:p>
          <w:p w:rsidR="00BB0B11" w:rsidRPr="0057576B" w:rsidRDefault="00BB0B11" w:rsidP="00F17E43">
            <w:pPr>
              <w:jc w:val="center"/>
              <w:rPr>
                <w:b/>
              </w:rPr>
            </w:pPr>
            <w:r w:rsidRPr="0057576B">
              <w:rPr>
                <w:b/>
              </w:rPr>
              <w:t>способ расчета</w:t>
            </w:r>
          </w:p>
        </w:tc>
        <w:tc>
          <w:tcPr>
            <w:tcW w:w="2552" w:type="dxa"/>
            <w:shd w:val="clear" w:color="auto" w:fill="D9D9D9"/>
            <w:vAlign w:val="center"/>
          </w:tcPr>
          <w:p w:rsidR="00BB0B11" w:rsidRPr="0057576B" w:rsidRDefault="00BB0B11" w:rsidP="00F17E43">
            <w:pPr>
              <w:jc w:val="center"/>
              <w:rPr>
                <w:b/>
              </w:rPr>
            </w:pPr>
            <w:r w:rsidRPr="0057576B">
              <w:rPr>
                <w:b/>
              </w:rPr>
              <w:t xml:space="preserve">Обоснование, </w:t>
            </w:r>
          </w:p>
          <w:p w:rsidR="00BB0B11" w:rsidRPr="0057576B" w:rsidRDefault="00BB0B11" w:rsidP="00F17E43">
            <w:pPr>
              <w:jc w:val="center"/>
              <w:rPr>
                <w:b/>
              </w:rPr>
            </w:pPr>
            <w:r w:rsidRPr="0057576B">
              <w:rPr>
                <w:b/>
              </w:rPr>
              <w:t>как влияет на развитие</w:t>
            </w:r>
          </w:p>
        </w:tc>
        <w:tc>
          <w:tcPr>
            <w:tcW w:w="2126" w:type="dxa"/>
            <w:shd w:val="clear" w:color="auto" w:fill="D9D9D9"/>
            <w:vAlign w:val="center"/>
          </w:tcPr>
          <w:p w:rsidR="00BB0B11" w:rsidRPr="0057576B" w:rsidRDefault="00BB0B11" w:rsidP="00F17E43">
            <w:pPr>
              <w:jc w:val="center"/>
              <w:rPr>
                <w:b/>
              </w:rPr>
            </w:pPr>
            <w:r w:rsidRPr="0057576B">
              <w:rPr>
                <w:b/>
              </w:rPr>
              <w:t>Источник информации</w:t>
            </w:r>
          </w:p>
        </w:tc>
        <w:tc>
          <w:tcPr>
            <w:tcW w:w="851" w:type="dxa"/>
            <w:shd w:val="clear" w:color="auto" w:fill="D9D9D9"/>
            <w:vAlign w:val="center"/>
          </w:tcPr>
          <w:p w:rsidR="00BB0B11" w:rsidRPr="0057576B" w:rsidRDefault="00BB0B11" w:rsidP="00F17E43">
            <w:pPr>
              <w:jc w:val="center"/>
              <w:rPr>
                <w:b/>
              </w:rPr>
            </w:pPr>
            <w:r w:rsidRPr="0057576B">
              <w:rPr>
                <w:b/>
              </w:rPr>
              <w:t>Вес</w:t>
            </w:r>
          </w:p>
        </w:tc>
        <w:tc>
          <w:tcPr>
            <w:tcW w:w="992" w:type="dxa"/>
            <w:shd w:val="clear" w:color="auto" w:fill="D9D9D9"/>
            <w:vAlign w:val="center"/>
          </w:tcPr>
          <w:p w:rsidR="00BB0B11" w:rsidRPr="0057576B" w:rsidRDefault="00BB0B11" w:rsidP="00F17E43">
            <w:pPr>
              <w:jc w:val="center"/>
              <w:rPr>
                <w:b/>
              </w:rPr>
            </w:pPr>
            <w:r w:rsidRPr="0057576B">
              <w:rPr>
                <w:b/>
              </w:rPr>
              <w:t>ед. изм.</w:t>
            </w:r>
          </w:p>
        </w:tc>
      </w:tr>
      <w:tr w:rsidR="00BB0B11" w:rsidRPr="0057576B" w:rsidTr="00F17E43">
        <w:tc>
          <w:tcPr>
            <w:tcW w:w="335" w:type="dxa"/>
          </w:tcPr>
          <w:p w:rsidR="00BB0B11" w:rsidRPr="0057576B" w:rsidRDefault="00BB0B11" w:rsidP="00F17E43">
            <w:r w:rsidRPr="0057576B">
              <w:t>1</w:t>
            </w:r>
          </w:p>
        </w:tc>
        <w:tc>
          <w:tcPr>
            <w:tcW w:w="3209" w:type="dxa"/>
          </w:tcPr>
          <w:p w:rsidR="00BB0B11" w:rsidRPr="0057576B" w:rsidRDefault="00BB0B11" w:rsidP="00F17E43">
            <w:r w:rsidRPr="0057576B">
              <w:rPr>
                <w:color w:val="000000"/>
              </w:rPr>
              <w:t>Объем реализованной инновационной продукции, созданной на базе научных разработок и результатов интеллектуальной деятельности подразделения</w:t>
            </w:r>
          </w:p>
        </w:tc>
        <w:tc>
          <w:tcPr>
            <w:tcW w:w="5670" w:type="dxa"/>
          </w:tcPr>
          <w:p w:rsidR="00BB0B11" w:rsidRPr="0057576B" w:rsidRDefault="00BB0B11" w:rsidP="00F17E43">
            <w:pPr>
              <w:rPr>
                <w:color w:val="000000"/>
              </w:rPr>
            </w:pPr>
            <w:r w:rsidRPr="0057576B">
              <w:rPr>
                <w:color w:val="000000"/>
              </w:rPr>
              <w:t>Тыс</w:t>
            </w:r>
            <w:r>
              <w:rPr>
                <w:color w:val="000000"/>
              </w:rPr>
              <w:t>яч рублей реализованной продукции</w:t>
            </w:r>
            <w:r w:rsidRPr="0057576B">
              <w:rPr>
                <w:color w:val="000000"/>
              </w:rPr>
              <w:t xml:space="preserve"> </w:t>
            </w:r>
            <w:r>
              <w:rPr>
                <w:color w:val="000000"/>
              </w:rPr>
              <w:t>к</w:t>
            </w:r>
            <w:r w:rsidRPr="0057576B">
              <w:rPr>
                <w:color w:val="000000"/>
              </w:rPr>
              <w:t xml:space="preserve"> среднесписочно</w:t>
            </w:r>
            <w:r>
              <w:rPr>
                <w:color w:val="000000"/>
              </w:rPr>
              <w:t>й</w:t>
            </w:r>
            <w:r w:rsidRPr="0057576B">
              <w:rPr>
                <w:color w:val="000000"/>
              </w:rPr>
              <w:t xml:space="preserve"> </w:t>
            </w:r>
            <w:r>
              <w:rPr>
                <w:color w:val="000000"/>
              </w:rPr>
              <w:t>численности</w:t>
            </w:r>
            <w:r w:rsidRPr="0057576B">
              <w:rPr>
                <w:color w:val="000000"/>
              </w:rPr>
              <w:t xml:space="preserve"> НПР за год</w:t>
            </w:r>
            <w:r>
              <w:rPr>
                <w:color w:val="000000"/>
              </w:rPr>
              <w:t>.</w:t>
            </w:r>
          </w:p>
          <w:p w:rsidR="00BB0B11" w:rsidRPr="0057576B" w:rsidRDefault="00BB0B11" w:rsidP="00F17E43">
            <w:pPr>
              <w:rPr>
                <w:color w:val="000000"/>
              </w:rPr>
            </w:pPr>
            <w:r w:rsidRPr="0057576B">
              <w:rPr>
                <w:color w:val="000000"/>
              </w:rPr>
              <w:t>К инновационной продукции относится:</w:t>
            </w:r>
          </w:p>
          <w:p w:rsidR="00BB0B11" w:rsidRPr="0057576B" w:rsidRDefault="00BB0B11" w:rsidP="00F17E43">
            <w:pPr>
              <w:rPr>
                <w:color w:val="000000"/>
              </w:rPr>
            </w:pPr>
            <w:r w:rsidRPr="0057576B">
              <w:rPr>
                <w:color w:val="000000"/>
              </w:rPr>
              <w:t>- доходы от передачи прав на ОИС (включая «ноу-хау»);</w:t>
            </w:r>
          </w:p>
          <w:p w:rsidR="00BB0B11" w:rsidRPr="0057576B" w:rsidRDefault="00BB0B11" w:rsidP="00F17E43">
            <w:pPr>
              <w:rPr>
                <w:color w:val="000000"/>
              </w:rPr>
            </w:pPr>
            <w:r w:rsidRPr="0057576B">
              <w:rPr>
                <w:color w:val="000000"/>
              </w:rPr>
              <w:t>- инжиниринговые услуги (инженерно-консультационные, подготовка строительства и эксплуатации  промышленных и иных объектов, предпроектные и проектные услуги, в том числе подготовка ТЭО, конструкторские разработки);</w:t>
            </w:r>
          </w:p>
          <w:p w:rsidR="00BB0B11" w:rsidRPr="0057576B" w:rsidRDefault="00BB0B11" w:rsidP="00F17E43">
            <w:pPr>
              <w:rPr>
                <w:color w:val="000000"/>
              </w:rPr>
            </w:pPr>
            <w:r w:rsidRPr="0057576B">
              <w:rPr>
                <w:color w:val="000000"/>
              </w:rPr>
              <w:t>- опытно-конструкторские и технологические работы в соответствии с установленным порядком;</w:t>
            </w:r>
          </w:p>
          <w:p w:rsidR="00BB0B11" w:rsidRPr="0057576B" w:rsidRDefault="00BB0B11" w:rsidP="00F17E43">
            <w:r w:rsidRPr="0057576B">
              <w:t>- доходы от коммерциализации результатов прикладных исследований с участием вуза и при его управлении;</w:t>
            </w:r>
          </w:p>
          <w:p w:rsidR="00BB0B11" w:rsidRPr="0057576B" w:rsidRDefault="00BB0B11" w:rsidP="00F17E43">
            <w:r w:rsidRPr="0057576B">
              <w:t>- средства, поступающие на реализацию инновационных проектов от грантодателей и/или инвесторов;</w:t>
            </w:r>
          </w:p>
          <w:p w:rsidR="00BB0B11" w:rsidRPr="0057576B" w:rsidRDefault="00BB0B11" w:rsidP="00F17E43">
            <w:r w:rsidRPr="0057576B">
              <w:t>- инновационные продукты (изделия, услуги, работы);</w:t>
            </w:r>
          </w:p>
          <w:p w:rsidR="00BB0B11" w:rsidRPr="0057576B" w:rsidRDefault="00BB0B11" w:rsidP="00F17E43">
            <w:r w:rsidRPr="0057576B">
              <w:t>- доходы от управления долями УрФУ и/или продажи долей УрФУ в хозяйственных обществах, относящихся к подразделению.</w:t>
            </w:r>
          </w:p>
          <w:p w:rsidR="00BB0B11" w:rsidRPr="0057576B" w:rsidRDefault="00BB0B11" w:rsidP="00F17E43">
            <w:r w:rsidRPr="0057576B">
              <w:t>Учитываются средства, поступившие за прошедший календарный (отчетный) год.</w:t>
            </w:r>
          </w:p>
        </w:tc>
        <w:tc>
          <w:tcPr>
            <w:tcW w:w="2552" w:type="dxa"/>
          </w:tcPr>
          <w:p w:rsidR="00BB0B11" w:rsidRPr="0057576B" w:rsidRDefault="00BB0B11" w:rsidP="00F17E43">
            <w:r w:rsidRPr="0057576B">
              <w:t>Данный показатель является одним из отчетных показателей развития университета. Чем выше объем привлеченных средств, тем выше показатели финансовой эффективности вуза</w:t>
            </w:r>
          </w:p>
        </w:tc>
        <w:tc>
          <w:tcPr>
            <w:tcW w:w="2126" w:type="dxa"/>
          </w:tcPr>
          <w:p w:rsidR="00BB0B11" w:rsidRPr="0057576B" w:rsidRDefault="00BB0B11" w:rsidP="00F17E43">
            <w:r w:rsidRPr="0057576B">
              <w:t>Данные подготавливаются инновационной инфраструктурой совместно с заместителем директора института по науке и инновациям, согласуются директором института, утверждаются проректором по инновационной деятельности</w:t>
            </w:r>
          </w:p>
        </w:tc>
        <w:tc>
          <w:tcPr>
            <w:tcW w:w="851" w:type="dxa"/>
          </w:tcPr>
          <w:p w:rsidR="00BB0B11" w:rsidRPr="0057576B" w:rsidRDefault="00BB0B11" w:rsidP="00F17E43">
            <w:pPr>
              <w:jc w:val="center"/>
            </w:pPr>
            <w:r w:rsidRPr="0057576B">
              <w:t>35</w:t>
            </w:r>
          </w:p>
        </w:tc>
        <w:tc>
          <w:tcPr>
            <w:tcW w:w="992" w:type="dxa"/>
          </w:tcPr>
          <w:p w:rsidR="00BB0B11" w:rsidRPr="0057576B" w:rsidRDefault="00BB0B11" w:rsidP="00F17E43">
            <w:pPr>
              <w:ind w:left="72"/>
              <w:rPr>
                <w:color w:val="000000"/>
              </w:rPr>
            </w:pPr>
            <w:r w:rsidRPr="0057576B">
              <w:rPr>
                <w:color w:val="000000"/>
              </w:rPr>
              <w:t>тыс. руб./чел</w:t>
            </w:r>
          </w:p>
          <w:p w:rsidR="00BB0B11" w:rsidRPr="0057576B" w:rsidRDefault="00BB0B11" w:rsidP="00F17E43"/>
        </w:tc>
      </w:tr>
      <w:tr w:rsidR="00BB0B11" w:rsidRPr="0057576B" w:rsidTr="00F17E43">
        <w:tc>
          <w:tcPr>
            <w:tcW w:w="335" w:type="dxa"/>
          </w:tcPr>
          <w:p w:rsidR="00BB0B11" w:rsidRPr="0057576B" w:rsidRDefault="00BB0B11" w:rsidP="00F17E43">
            <w:r w:rsidRPr="0057576B">
              <w:t>2</w:t>
            </w:r>
          </w:p>
        </w:tc>
        <w:tc>
          <w:tcPr>
            <w:tcW w:w="3209" w:type="dxa"/>
          </w:tcPr>
          <w:p w:rsidR="00BB0B11" w:rsidRPr="0057576B" w:rsidRDefault="00BB0B11" w:rsidP="00F17E43">
            <w:r w:rsidRPr="0057576B">
              <w:rPr>
                <w:color w:val="000000"/>
              </w:rPr>
              <w:t>Количество хозяйственных обществ, созданных с участием университета с использованием научных разработок и результатов интеллектуальной деятельности подразделения</w:t>
            </w:r>
          </w:p>
        </w:tc>
        <w:tc>
          <w:tcPr>
            <w:tcW w:w="5670" w:type="dxa"/>
          </w:tcPr>
          <w:p w:rsidR="00BB0B11" w:rsidRPr="0057576B" w:rsidRDefault="00BB0B11" w:rsidP="00F17E43">
            <w:r w:rsidRPr="0057576B">
              <w:t>Единиц малых инновационных предприятий, реализующих ОИС вуза, относящихся к Институту.</w:t>
            </w:r>
          </w:p>
          <w:p w:rsidR="00BB0B11" w:rsidRPr="0057576B" w:rsidRDefault="00BB0B11" w:rsidP="00F17E43">
            <w:r w:rsidRPr="0057576B">
              <w:t>В состав учредителей малого предприятия должен входить Университет, либо принято решение Наблюдательного совета о вхождении в данное предприятие.</w:t>
            </w:r>
          </w:p>
          <w:p w:rsidR="00BB0B11" w:rsidRPr="0057576B" w:rsidRDefault="00BB0B11" w:rsidP="00F17E43">
            <w:r w:rsidRPr="0057576B">
              <w:t>Обороты предприятия за прошедший календарный год не менее 300 000 руб.</w:t>
            </w:r>
          </w:p>
          <w:p w:rsidR="00BB0B11" w:rsidRPr="0057576B" w:rsidRDefault="00BB0B11" w:rsidP="00F17E43">
            <w:r w:rsidRPr="0057576B">
              <w:rPr>
                <w:color w:val="000000"/>
              </w:rPr>
              <w:t>Учитываются данные за прошедший календарный (отчетный) год.</w:t>
            </w:r>
          </w:p>
        </w:tc>
        <w:tc>
          <w:tcPr>
            <w:tcW w:w="2552" w:type="dxa"/>
          </w:tcPr>
          <w:p w:rsidR="00BB0B11" w:rsidRPr="0057576B" w:rsidRDefault="00BB0B11" w:rsidP="00F17E43">
            <w:r w:rsidRPr="0057576B">
              <w:t>Данный показатель является одним из отчетных показателей развития университета. Количество малых инновационных предприятий, входящих в пояс малых предприятий при вузе напрямую влияет на показатели развития.</w:t>
            </w:r>
          </w:p>
        </w:tc>
        <w:tc>
          <w:tcPr>
            <w:tcW w:w="2126" w:type="dxa"/>
          </w:tcPr>
          <w:p w:rsidR="00BB0B11" w:rsidRPr="0057576B" w:rsidRDefault="00BB0B11" w:rsidP="00F17E43">
            <w:r w:rsidRPr="0057576B">
              <w:t>Данные предоставляются уполномоченным подразделением Инновационной инфраструктуры.</w:t>
            </w:r>
          </w:p>
        </w:tc>
        <w:tc>
          <w:tcPr>
            <w:tcW w:w="851" w:type="dxa"/>
          </w:tcPr>
          <w:p w:rsidR="00BB0B11" w:rsidRPr="0057576B" w:rsidRDefault="00BB0B11" w:rsidP="00F17E43">
            <w:pPr>
              <w:jc w:val="center"/>
            </w:pPr>
            <w:r w:rsidRPr="0057576B">
              <w:t>20</w:t>
            </w:r>
          </w:p>
        </w:tc>
        <w:tc>
          <w:tcPr>
            <w:tcW w:w="992" w:type="dxa"/>
          </w:tcPr>
          <w:p w:rsidR="00BB0B11" w:rsidRPr="0057576B" w:rsidRDefault="00BB0B11" w:rsidP="00F17E43">
            <w:r w:rsidRPr="0057576B">
              <w:t xml:space="preserve">ед. </w:t>
            </w:r>
          </w:p>
        </w:tc>
      </w:tr>
      <w:tr w:rsidR="00BB0B11" w:rsidRPr="0057576B" w:rsidTr="00F17E43">
        <w:tc>
          <w:tcPr>
            <w:tcW w:w="335" w:type="dxa"/>
          </w:tcPr>
          <w:p w:rsidR="00BB0B11" w:rsidRPr="0057576B" w:rsidRDefault="00BB0B11" w:rsidP="00F17E43">
            <w:r w:rsidRPr="0057576B">
              <w:t>3</w:t>
            </w:r>
          </w:p>
        </w:tc>
        <w:tc>
          <w:tcPr>
            <w:tcW w:w="3209" w:type="dxa"/>
          </w:tcPr>
          <w:p w:rsidR="00BB0B11" w:rsidRPr="0057576B" w:rsidRDefault="00BB0B11" w:rsidP="00F17E43">
            <w:r w:rsidRPr="0057576B">
              <w:rPr>
                <w:color w:val="000000"/>
              </w:rPr>
              <w:t>Доля сотрудников и студентов Института, участвующих в инновационной деятельности</w:t>
            </w:r>
          </w:p>
        </w:tc>
        <w:tc>
          <w:tcPr>
            <w:tcW w:w="5670" w:type="dxa"/>
          </w:tcPr>
          <w:p w:rsidR="00BB0B11" w:rsidRPr="0057576B" w:rsidRDefault="00BB0B11" w:rsidP="00F17E43">
            <w:pPr>
              <w:rPr>
                <w:color w:val="000000"/>
              </w:rPr>
            </w:pPr>
            <w:r>
              <w:rPr>
                <w:color w:val="000000"/>
              </w:rPr>
              <w:t>Доля определяется по среднесписочной</w:t>
            </w:r>
            <w:r w:rsidRPr="0057576B">
              <w:rPr>
                <w:color w:val="000000"/>
              </w:rPr>
              <w:t xml:space="preserve"> </w:t>
            </w:r>
            <w:r>
              <w:rPr>
                <w:color w:val="000000"/>
              </w:rPr>
              <w:t>численности</w:t>
            </w:r>
            <w:r w:rsidRPr="0057576B">
              <w:rPr>
                <w:color w:val="000000"/>
              </w:rPr>
              <w:t xml:space="preserve"> НПР за год</w:t>
            </w:r>
            <w:r>
              <w:rPr>
                <w:color w:val="000000"/>
              </w:rPr>
              <w:t xml:space="preserve"> и численности </w:t>
            </w:r>
            <w:r w:rsidRPr="0057576B">
              <w:rPr>
                <w:color w:val="000000"/>
              </w:rPr>
              <w:t>студентов очной формы обучения на 10 октября отчетного года.</w:t>
            </w:r>
          </w:p>
          <w:p w:rsidR="00BB0B11" w:rsidRPr="0057576B" w:rsidRDefault="00BB0B11" w:rsidP="00F17E43">
            <w:pPr>
              <w:rPr>
                <w:color w:val="000000"/>
              </w:rPr>
            </w:pPr>
            <w:r w:rsidRPr="0057576B">
              <w:rPr>
                <w:color w:val="000000"/>
              </w:rPr>
              <w:t>Учитываются сотрудники и студенты, участвующие в инновационной деятельности:</w:t>
            </w:r>
          </w:p>
          <w:p w:rsidR="00BB0B11" w:rsidRPr="0057576B" w:rsidRDefault="00BB0B11" w:rsidP="00F17E43">
            <w:pPr>
              <w:rPr>
                <w:color w:val="000000"/>
              </w:rPr>
            </w:pPr>
            <w:r w:rsidRPr="0057576B">
              <w:rPr>
                <w:color w:val="000000"/>
              </w:rPr>
              <w:t>- принимающие участие в работе МИП или проектных команд;</w:t>
            </w:r>
          </w:p>
          <w:p w:rsidR="00BB0B11" w:rsidRPr="0057576B" w:rsidRDefault="00BB0B11" w:rsidP="00F17E43">
            <w:pPr>
              <w:rPr>
                <w:color w:val="000000"/>
              </w:rPr>
            </w:pPr>
            <w:r w:rsidRPr="0057576B">
              <w:rPr>
                <w:color w:val="000000"/>
              </w:rPr>
              <w:t>- участвующие в инновационных мероприятиях (Выставки, семинары, выездные школы и т.д.)</w:t>
            </w:r>
          </w:p>
          <w:p w:rsidR="00BB0B11" w:rsidRPr="0057576B" w:rsidRDefault="00BB0B11" w:rsidP="00F17E43">
            <w:pPr>
              <w:rPr>
                <w:color w:val="000000"/>
              </w:rPr>
            </w:pPr>
            <w:r w:rsidRPr="0057576B">
              <w:rPr>
                <w:color w:val="000000"/>
              </w:rPr>
              <w:t>- занятые в выпуске инновационной продукции.</w:t>
            </w:r>
          </w:p>
          <w:p w:rsidR="00BB0B11" w:rsidRPr="0057576B" w:rsidRDefault="00BB0B11" w:rsidP="00F17E43">
            <w:r w:rsidRPr="0057576B">
              <w:rPr>
                <w:color w:val="000000"/>
              </w:rPr>
              <w:t>Учитываются данные за прошедший календарный (отчетный) год.</w:t>
            </w:r>
            <w:r w:rsidRPr="0057576B">
              <w:t xml:space="preserve"> </w:t>
            </w:r>
          </w:p>
          <w:p w:rsidR="00BB0B11" w:rsidRPr="0057576B" w:rsidRDefault="00BB0B11" w:rsidP="00F17E43">
            <w:pPr>
              <w:rPr>
                <w:color w:val="000000"/>
              </w:rPr>
            </w:pPr>
            <w:r w:rsidRPr="0057576B">
              <w:t>Не допускается многократный учет одного человека в различных видах активности</w:t>
            </w:r>
          </w:p>
        </w:tc>
        <w:tc>
          <w:tcPr>
            <w:tcW w:w="2552" w:type="dxa"/>
          </w:tcPr>
          <w:p w:rsidR="00BB0B11" w:rsidRPr="0057576B" w:rsidRDefault="00BB0B11" w:rsidP="00F17E43">
            <w:r w:rsidRPr="0057576B">
              <w:t>Данный показатель является одним из отчетных показателей развития Вуза по развитию инновационной инфраструктуры.</w:t>
            </w:r>
          </w:p>
        </w:tc>
        <w:tc>
          <w:tcPr>
            <w:tcW w:w="2126" w:type="dxa"/>
          </w:tcPr>
          <w:p w:rsidR="00BB0B11" w:rsidRPr="0057576B" w:rsidRDefault="00BB0B11" w:rsidP="00F17E43">
            <w:r w:rsidRPr="0057576B">
              <w:t>Данные подготавливаются инновационной инфраструктурой совместно с заместителем директора института по науке и инновациям, согласуются директором института, утверждаются проректором по инновационной деятельности</w:t>
            </w:r>
          </w:p>
        </w:tc>
        <w:tc>
          <w:tcPr>
            <w:tcW w:w="851" w:type="dxa"/>
          </w:tcPr>
          <w:p w:rsidR="00BB0B11" w:rsidRPr="0057576B" w:rsidRDefault="00BB0B11" w:rsidP="00F17E43">
            <w:pPr>
              <w:jc w:val="center"/>
            </w:pPr>
            <w:r w:rsidRPr="0057576B">
              <w:t>20</w:t>
            </w:r>
          </w:p>
        </w:tc>
        <w:tc>
          <w:tcPr>
            <w:tcW w:w="992"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4</w:t>
            </w:r>
          </w:p>
        </w:tc>
        <w:tc>
          <w:tcPr>
            <w:tcW w:w="3209" w:type="dxa"/>
          </w:tcPr>
          <w:p w:rsidR="00BB0B11" w:rsidRPr="0057576B" w:rsidRDefault="00BB0B11" w:rsidP="00F17E43">
            <w:r w:rsidRPr="0057576B">
              <w:rPr>
                <w:color w:val="000000"/>
              </w:rPr>
              <w:t>Количество поставленных на учет объектов интеллектуальной собственности</w:t>
            </w:r>
          </w:p>
        </w:tc>
        <w:tc>
          <w:tcPr>
            <w:tcW w:w="5670" w:type="dxa"/>
          </w:tcPr>
          <w:p w:rsidR="00BB0B11" w:rsidRPr="0057576B" w:rsidRDefault="00BB0B11" w:rsidP="00F17E43">
            <w:pPr>
              <w:rPr>
                <w:color w:val="000000"/>
              </w:rPr>
            </w:pPr>
            <w:r w:rsidRPr="0057576B">
              <w:rPr>
                <w:color w:val="000000"/>
              </w:rPr>
              <w:t>Е</w:t>
            </w:r>
            <w:r>
              <w:rPr>
                <w:color w:val="000000"/>
              </w:rPr>
              <w:t>диниц ОИС, поставленных на учет к</w:t>
            </w:r>
            <w:r w:rsidRPr="0057576B">
              <w:rPr>
                <w:color w:val="000000"/>
              </w:rPr>
              <w:t xml:space="preserve"> </w:t>
            </w:r>
            <w:bookmarkStart w:id="2" w:name="OLE_LINK5"/>
            <w:bookmarkStart w:id="3" w:name="OLE_LINK6"/>
            <w:r w:rsidRPr="0057576B">
              <w:rPr>
                <w:color w:val="000000"/>
              </w:rPr>
              <w:t>среднесписочно</w:t>
            </w:r>
            <w:r>
              <w:rPr>
                <w:color w:val="000000"/>
              </w:rPr>
              <w:t>й</w:t>
            </w:r>
            <w:r w:rsidRPr="0057576B">
              <w:rPr>
                <w:color w:val="000000"/>
              </w:rPr>
              <w:t xml:space="preserve"> </w:t>
            </w:r>
            <w:r>
              <w:rPr>
                <w:color w:val="000000"/>
              </w:rPr>
              <w:t>численности</w:t>
            </w:r>
            <w:r w:rsidRPr="0057576B">
              <w:rPr>
                <w:color w:val="000000"/>
              </w:rPr>
              <w:t xml:space="preserve"> НПР за год</w:t>
            </w:r>
            <w:bookmarkEnd w:id="2"/>
            <w:bookmarkEnd w:id="3"/>
            <w:r>
              <w:rPr>
                <w:color w:val="000000"/>
              </w:rPr>
              <w:t>.</w:t>
            </w:r>
          </w:p>
          <w:p w:rsidR="00BB0B11" w:rsidRPr="0057576B" w:rsidRDefault="00BB0B11" w:rsidP="00F17E43">
            <w:pPr>
              <w:rPr>
                <w:color w:val="000000"/>
              </w:rPr>
            </w:pPr>
            <w:r w:rsidRPr="0057576B">
              <w:rPr>
                <w:color w:val="000000"/>
              </w:rPr>
              <w:t>Учитываются (однократно) следующие ОИС:</w:t>
            </w:r>
          </w:p>
          <w:p w:rsidR="00BB0B11" w:rsidRPr="0057576B" w:rsidRDefault="00BB0B11" w:rsidP="00F17E43">
            <w:pPr>
              <w:rPr>
                <w:color w:val="000000"/>
              </w:rPr>
            </w:pPr>
            <w:r w:rsidRPr="0057576B">
              <w:rPr>
                <w:color w:val="000000"/>
              </w:rPr>
              <w:t>- прошедшие официальную регистрацию в Роспатенте;</w:t>
            </w:r>
          </w:p>
          <w:p w:rsidR="00BB0B11" w:rsidRPr="0057576B" w:rsidRDefault="00BB0B11" w:rsidP="00F17E43">
            <w:pPr>
              <w:rPr>
                <w:color w:val="000000"/>
              </w:rPr>
            </w:pPr>
            <w:r w:rsidRPr="0057576B">
              <w:rPr>
                <w:color w:val="000000"/>
              </w:rPr>
              <w:t>- получившие положительное решение экспертизы по существу;</w:t>
            </w:r>
          </w:p>
          <w:p w:rsidR="00BB0B11" w:rsidRPr="0057576B" w:rsidRDefault="00BB0B11" w:rsidP="00F17E43">
            <w:pPr>
              <w:rPr>
                <w:color w:val="000000"/>
              </w:rPr>
            </w:pPr>
            <w:r w:rsidRPr="0057576B">
              <w:rPr>
                <w:color w:val="000000"/>
              </w:rPr>
              <w:t>- поставленные на баланс УрФУ как нематериальный актив.</w:t>
            </w:r>
          </w:p>
          <w:p w:rsidR="00BB0B11" w:rsidRPr="0057576B" w:rsidRDefault="00BB0B11" w:rsidP="00F17E43">
            <w:pPr>
              <w:rPr>
                <w:color w:val="000000"/>
              </w:rPr>
            </w:pPr>
            <w:r w:rsidRPr="0057576B">
              <w:rPr>
                <w:color w:val="000000"/>
              </w:rPr>
              <w:t>В случае если в авторский коллектив входят авторы из разных институтов, то учитывается личный вклад каждого автора в создание ОИС на основании протокола, подписанного авторами.</w:t>
            </w:r>
          </w:p>
          <w:p w:rsidR="00BB0B11" w:rsidRPr="0057576B" w:rsidRDefault="00BB0B11" w:rsidP="00F17E43">
            <w:r w:rsidRPr="0057576B">
              <w:rPr>
                <w:color w:val="000000"/>
              </w:rPr>
              <w:t>Учитываются данные за прошедший календарный (отчетный) год.</w:t>
            </w:r>
          </w:p>
        </w:tc>
        <w:tc>
          <w:tcPr>
            <w:tcW w:w="2552" w:type="dxa"/>
          </w:tcPr>
          <w:p w:rsidR="00BB0B11" w:rsidRPr="0057576B" w:rsidRDefault="00BB0B11" w:rsidP="00F17E43">
            <w:r w:rsidRPr="0057576B">
              <w:t>Данный показатель влияет на объем средств, полученных от реализации инновационной продукции.</w:t>
            </w:r>
          </w:p>
        </w:tc>
        <w:tc>
          <w:tcPr>
            <w:tcW w:w="2126" w:type="dxa"/>
          </w:tcPr>
          <w:p w:rsidR="00BB0B11" w:rsidRPr="0057576B" w:rsidRDefault="00BB0B11" w:rsidP="00F17E43">
            <w:pPr>
              <w:ind w:left="72"/>
            </w:pPr>
            <w:r w:rsidRPr="0057576B">
              <w:t>Данные подготавливаются инновационной инфраструктурой совместно с заместителем директора института по науке и инновациям, согласуются директором института, утверждаются проректором по инновационной деятельности</w:t>
            </w:r>
          </w:p>
        </w:tc>
        <w:tc>
          <w:tcPr>
            <w:tcW w:w="851" w:type="dxa"/>
          </w:tcPr>
          <w:p w:rsidR="00BB0B11" w:rsidRPr="0057576B" w:rsidRDefault="00BB0B11" w:rsidP="00F17E43">
            <w:pPr>
              <w:jc w:val="center"/>
            </w:pPr>
            <w:r w:rsidRPr="0057576B">
              <w:t>25</w:t>
            </w:r>
          </w:p>
        </w:tc>
        <w:tc>
          <w:tcPr>
            <w:tcW w:w="992" w:type="dxa"/>
          </w:tcPr>
          <w:p w:rsidR="00BB0B11" w:rsidRPr="0057576B" w:rsidRDefault="00BB0B11" w:rsidP="00F17E43">
            <w:pPr>
              <w:ind w:left="72"/>
              <w:rPr>
                <w:color w:val="000000"/>
              </w:rPr>
            </w:pPr>
            <w:r w:rsidRPr="0057576B">
              <w:rPr>
                <w:color w:val="000000"/>
              </w:rPr>
              <w:t>ед./ чел</w:t>
            </w:r>
          </w:p>
          <w:p w:rsidR="00BB0B11" w:rsidRPr="0057576B" w:rsidRDefault="00BB0B11" w:rsidP="00F17E43"/>
        </w:tc>
      </w:tr>
    </w:tbl>
    <w:p w:rsidR="00BB0B11" w:rsidRPr="0057576B" w:rsidRDefault="00BB0B11" w:rsidP="00F17E43"/>
    <w:p w:rsidR="00BB0B11" w:rsidRPr="0057576B" w:rsidRDefault="00BB0B11" w:rsidP="00F17E43">
      <w:pPr>
        <w:rPr>
          <w:b/>
          <w:u w:val="single"/>
          <w:lang w:val="en-US"/>
        </w:rPr>
      </w:pPr>
      <w:r w:rsidRPr="0057576B">
        <w:rPr>
          <w:b/>
          <w:u w:val="single"/>
        </w:rPr>
        <w:t>5. Интернационализация</w:t>
      </w:r>
    </w:p>
    <w:p w:rsidR="00BB0B11" w:rsidRPr="0057576B" w:rsidRDefault="00BB0B11" w:rsidP="00F17E43">
      <w:pPr>
        <w:rPr>
          <w:b/>
        </w:rPr>
      </w:pPr>
    </w:p>
    <w:tbl>
      <w:tblPr>
        <w:tblW w:w="15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3209"/>
        <w:gridCol w:w="5670"/>
        <w:gridCol w:w="2542"/>
        <w:gridCol w:w="2120"/>
        <w:gridCol w:w="848"/>
        <w:gridCol w:w="989"/>
      </w:tblGrid>
      <w:tr w:rsidR="00BB0B11" w:rsidRPr="0057576B" w:rsidTr="00F17E43">
        <w:trPr>
          <w:tblHeader/>
        </w:trPr>
        <w:tc>
          <w:tcPr>
            <w:tcW w:w="335" w:type="dxa"/>
            <w:shd w:val="clear" w:color="auto" w:fill="D9D9D9"/>
            <w:vAlign w:val="center"/>
          </w:tcPr>
          <w:p w:rsidR="00BB0B11" w:rsidRPr="0057576B" w:rsidRDefault="00BB0B11" w:rsidP="00F17E43">
            <w:pPr>
              <w:jc w:val="center"/>
              <w:rPr>
                <w:b/>
              </w:rPr>
            </w:pPr>
          </w:p>
        </w:tc>
        <w:tc>
          <w:tcPr>
            <w:tcW w:w="3209" w:type="dxa"/>
            <w:shd w:val="clear" w:color="auto" w:fill="D9D9D9"/>
            <w:vAlign w:val="center"/>
          </w:tcPr>
          <w:p w:rsidR="00BB0B11" w:rsidRPr="0057576B" w:rsidRDefault="00BB0B11" w:rsidP="00F17E43">
            <w:pPr>
              <w:jc w:val="center"/>
              <w:rPr>
                <w:b/>
              </w:rPr>
            </w:pPr>
            <w:r w:rsidRPr="0057576B">
              <w:rPr>
                <w:b/>
              </w:rPr>
              <w:t>Показатель</w:t>
            </w:r>
          </w:p>
        </w:tc>
        <w:tc>
          <w:tcPr>
            <w:tcW w:w="5670" w:type="dxa"/>
            <w:shd w:val="clear" w:color="auto" w:fill="D9D9D9"/>
            <w:vAlign w:val="center"/>
          </w:tcPr>
          <w:p w:rsidR="00BB0B11" w:rsidRPr="0057576B" w:rsidRDefault="00BB0B11" w:rsidP="00F17E43">
            <w:pPr>
              <w:jc w:val="center"/>
              <w:rPr>
                <w:b/>
              </w:rPr>
            </w:pPr>
            <w:r w:rsidRPr="0057576B">
              <w:rPr>
                <w:b/>
              </w:rPr>
              <w:t>Учитываемые элементы</w:t>
            </w:r>
          </w:p>
        </w:tc>
        <w:tc>
          <w:tcPr>
            <w:tcW w:w="2542" w:type="dxa"/>
            <w:shd w:val="clear" w:color="auto" w:fill="D9D9D9"/>
            <w:vAlign w:val="center"/>
          </w:tcPr>
          <w:p w:rsidR="00BB0B11" w:rsidRPr="0057576B" w:rsidRDefault="00BB0B11" w:rsidP="00F17E43">
            <w:pPr>
              <w:jc w:val="center"/>
              <w:rPr>
                <w:b/>
              </w:rPr>
            </w:pPr>
            <w:r w:rsidRPr="0057576B">
              <w:rPr>
                <w:b/>
              </w:rPr>
              <w:t>Обоснование</w:t>
            </w:r>
          </w:p>
        </w:tc>
        <w:tc>
          <w:tcPr>
            <w:tcW w:w="2120" w:type="dxa"/>
            <w:shd w:val="clear" w:color="auto" w:fill="D9D9D9"/>
            <w:vAlign w:val="center"/>
          </w:tcPr>
          <w:p w:rsidR="00BB0B11" w:rsidRPr="0057576B" w:rsidRDefault="00BB0B11" w:rsidP="00F17E43">
            <w:pPr>
              <w:jc w:val="center"/>
              <w:rPr>
                <w:b/>
              </w:rPr>
            </w:pPr>
            <w:r w:rsidRPr="0057576B">
              <w:rPr>
                <w:b/>
              </w:rPr>
              <w:t>Источник информации</w:t>
            </w:r>
          </w:p>
        </w:tc>
        <w:tc>
          <w:tcPr>
            <w:tcW w:w="848" w:type="dxa"/>
            <w:shd w:val="clear" w:color="auto" w:fill="D9D9D9"/>
            <w:vAlign w:val="center"/>
          </w:tcPr>
          <w:p w:rsidR="00BB0B11" w:rsidRPr="0057576B" w:rsidRDefault="00BB0B11" w:rsidP="00F17E43">
            <w:pPr>
              <w:jc w:val="center"/>
              <w:rPr>
                <w:b/>
              </w:rPr>
            </w:pPr>
            <w:r w:rsidRPr="0057576B">
              <w:rPr>
                <w:b/>
              </w:rPr>
              <w:t>Вес</w:t>
            </w:r>
          </w:p>
        </w:tc>
        <w:tc>
          <w:tcPr>
            <w:tcW w:w="989" w:type="dxa"/>
            <w:shd w:val="clear" w:color="auto" w:fill="D9D9D9"/>
            <w:vAlign w:val="center"/>
          </w:tcPr>
          <w:p w:rsidR="00BB0B11" w:rsidRPr="0057576B" w:rsidRDefault="00BB0B11" w:rsidP="00F17E43">
            <w:pPr>
              <w:jc w:val="center"/>
              <w:rPr>
                <w:b/>
              </w:rPr>
            </w:pPr>
            <w:r w:rsidRPr="0057576B">
              <w:rPr>
                <w:b/>
              </w:rPr>
              <w:t>ед. изм.</w:t>
            </w:r>
          </w:p>
        </w:tc>
      </w:tr>
      <w:tr w:rsidR="00BB0B11" w:rsidRPr="0057576B" w:rsidTr="00F17E43">
        <w:tc>
          <w:tcPr>
            <w:tcW w:w="335" w:type="dxa"/>
          </w:tcPr>
          <w:p w:rsidR="00BB0B11" w:rsidRPr="0057576B" w:rsidRDefault="00BB0B11" w:rsidP="00F17E43">
            <w:r w:rsidRPr="0057576B">
              <w:t>1</w:t>
            </w:r>
          </w:p>
        </w:tc>
        <w:tc>
          <w:tcPr>
            <w:tcW w:w="3209" w:type="dxa"/>
          </w:tcPr>
          <w:p w:rsidR="00BB0B11" w:rsidRPr="00323CD0" w:rsidRDefault="00BB0B11" w:rsidP="00F17E43">
            <w:r w:rsidRPr="00323CD0">
              <w:t>Доля иностранных НПР в общей численности НПР Института в год</w:t>
            </w:r>
          </w:p>
        </w:tc>
        <w:tc>
          <w:tcPr>
            <w:tcW w:w="5670" w:type="dxa"/>
          </w:tcPr>
          <w:p w:rsidR="00BB0B11" w:rsidRDefault="00BB0B11" w:rsidP="00F17E43">
            <w:pPr>
              <w:tabs>
                <w:tab w:val="num" w:pos="72"/>
              </w:tabs>
              <w:ind w:left="72"/>
            </w:pPr>
            <w:r>
              <w:t>Отношение среднесписочного состава иностранных НПР к среднесписочному составу НПР института.</w:t>
            </w:r>
          </w:p>
          <w:p w:rsidR="00BB0B11" w:rsidRPr="0057576B" w:rsidRDefault="00BB0B11" w:rsidP="00F17E43">
            <w:pPr>
              <w:tabs>
                <w:tab w:val="num" w:pos="72"/>
              </w:tabs>
              <w:ind w:left="72"/>
            </w:pPr>
            <w:r w:rsidRPr="0057576B">
              <w:t>Иностранный научно-педагогический работник – НПР с иностранным гражданством, трудоустроенный в УрФУ в качестве штатного преподавателя или совместителя, или</w:t>
            </w:r>
            <w:r>
              <w:t xml:space="preserve"> научного</w:t>
            </w:r>
            <w:r w:rsidRPr="0057576B">
              <w:t xml:space="preserve"> сотрудника по гражданско-правовому договору, и имеющий опыт преподава</w:t>
            </w:r>
            <w:r>
              <w:t>ния.</w:t>
            </w:r>
          </w:p>
          <w:p w:rsidR="00BB0B11" w:rsidRPr="0057576B" w:rsidRDefault="00BB0B11" w:rsidP="00F17E43">
            <w:pPr>
              <w:tabs>
                <w:tab w:val="num" w:pos="72"/>
              </w:tabs>
              <w:ind w:left="72"/>
            </w:pPr>
            <w:r w:rsidRPr="0057576B">
              <w:t>Работа в УрФУ должна быть обязательно подтверждена договором с преподавателем (даже на одну лекцию).</w:t>
            </w:r>
          </w:p>
          <w:p w:rsidR="00BB0B11" w:rsidRPr="0057576B" w:rsidRDefault="00BB0B11" w:rsidP="00F17E43">
            <w:pPr>
              <w:tabs>
                <w:tab w:val="num" w:pos="72"/>
              </w:tabs>
              <w:ind w:left="72"/>
            </w:pPr>
            <w:r>
              <w:t xml:space="preserve">Определить </w:t>
            </w:r>
            <w:r w:rsidRPr="0057576B">
              <w:t>норму времени для подсчета среднесписочн</w:t>
            </w:r>
            <w:r>
              <w:t>ой</w:t>
            </w:r>
            <w:r w:rsidRPr="0057576B">
              <w:t xml:space="preserve"> </w:t>
            </w:r>
            <w:r>
              <w:t>численности</w:t>
            </w:r>
            <w:r w:rsidRPr="0057576B">
              <w:t xml:space="preserve"> </w:t>
            </w:r>
            <w:r w:rsidRPr="00323CD0">
              <w:t>иностранных</w:t>
            </w:r>
            <w:r w:rsidRPr="0057576B">
              <w:t xml:space="preserve"> </w:t>
            </w:r>
            <w:r>
              <w:t xml:space="preserve">педагогических работников в </w:t>
            </w:r>
            <w:r w:rsidRPr="0057576B">
              <w:t>300 (контактных) академических часов. При этом в расчет принимаются:</w:t>
            </w:r>
          </w:p>
          <w:p w:rsidR="00BB0B11" w:rsidRPr="0057576B" w:rsidRDefault="00BB0B11" w:rsidP="00F17E43">
            <w:pPr>
              <w:tabs>
                <w:tab w:val="num" w:pos="72"/>
              </w:tabs>
              <w:ind w:left="72"/>
            </w:pPr>
            <w:r w:rsidRPr="0057576B">
              <w:t>Иностранные НПР, трудоустроенные в УрФУ в качестве штатных сотрудников или совместителей на</w:t>
            </w:r>
            <w:r>
              <w:t xml:space="preserve"> период один академический год.</w:t>
            </w:r>
          </w:p>
          <w:p w:rsidR="00BB0B11" w:rsidRPr="00323CD0" w:rsidRDefault="00BB0B11" w:rsidP="00F17E43">
            <w:pPr>
              <w:tabs>
                <w:tab w:val="num" w:pos="72"/>
              </w:tabs>
              <w:ind w:left="72"/>
            </w:pPr>
            <w:r w:rsidRPr="0057576B">
              <w:t>Дистанционные лекции приравниваются к очным лекциям и должны быть подсчитаны как обычные контакт-часы (если это не форма самостоятельной работы или удаленного консультирования).</w:t>
            </w:r>
          </w:p>
          <w:p w:rsidR="00BB0B11" w:rsidRPr="00323CD0" w:rsidRDefault="00BB0B11" w:rsidP="00F17E43">
            <w:pPr>
              <w:tabs>
                <w:tab w:val="num" w:pos="72"/>
              </w:tabs>
              <w:ind w:left="72"/>
            </w:pPr>
            <w:r w:rsidRPr="0057576B">
              <w:t>Если один и тот же иностранный НПР читает курсы в разных институтах, то за единицу расчета принимается количество и продолжительность контрактов / договоров</w:t>
            </w:r>
            <w:r>
              <w:t xml:space="preserve"> с институтом</w:t>
            </w:r>
            <w:r w:rsidRPr="0057576B">
              <w:t>.</w:t>
            </w:r>
          </w:p>
          <w:p w:rsidR="00BB0B11" w:rsidRPr="0057576B" w:rsidRDefault="00BB0B11" w:rsidP="00F17E43">
            <w:pPr>
              <w:tabs>
                <w:tab w:val="num" w:pos="72"/>
              </w:tabs>
              <w:ind w:left="72"/>
            </w:pPr>
            <w:r w:rsidRPr="0057576B">
              <w:t xml:space="preserve">Подсчет ведется за </w:t>
            </w:r>
            <w:r w:rsidRPr="0057576B">
              <w:rPr>
                <w:color w:val="000000"/>
              </w:rPr>
              <w:t>календарный (отчетный) год.</w:t>
            </w:r>
          </w:p>
        </w:tc>
        <w:tc>
          <w:tcPr>
            <w:tcW w:w="2542" w:type="dxa"/>
          </w:tcPr>
          <w:p w:rsidR="00BB0B11" w:rsidRPr="0057576B" w:rsidRDefault="00BB0B11" w:rsidP="00F17E43">
            <w:pPr>
              <w:tabs>
                <w:tab w:val="num" w:pos="72"/>
              </w:tabs>
              <w:ind w:left="72"/>
            </w:pPr>
            <w:r w:rsidRPr="0057576B">
              <w:t xml:space="preserve">Данный показатель является одним из </w:t>
            </w:r>
            <w:r>
              <w:t xml:space="preserve">шести </w:t>
            </w:r>
            <w:r w:rsidRPr="0057576B">
              <w:t>в рейтинге QS</w:t>
            </w:r>
            <w:r>
              <w:t>, с весом 5%.</w:t>
            </w:r>
          </w:p>
        </w:tc>
        <w:tc>
          <w:tcPr>
            <w:tcW w:w="2120" w:type="dxa"/>
          </w:tcPr>
          <w:p w:rsidR="00BB0B11" w:rsidRPr="0057576B" w:rsidRDefault="00BB0B11" w:rsidP="00F17E43">
            <w:r w:rsidRPr="0057576B">
              <w:t>Управление кадров, данные институтов, подтвержденные соответствующими договорами.</w:t>
            </w:r>
          </w:p>
        </w:tc>
        <w:tc>
          <w:tcPr>
            <w:tcW w:w="848" w:type="dxa"/>
          </w:tcPr>
          <w:p w:rsidR="00BB0B11" w:rsidRPr="0057576B" w:rsidRDefault="00BB0B11" w:rsidP="00F17E43">
            <w:pPr>
              <w:jc w:val="center"/>
            </w:pPr>
            <w:r w:rsidRPr="0057576B">
              <w:t>15</w:t>
            </w:r>
          </w:p>
        </w:tc>
        <w:tc>
          <w:tcPr>
            <w:tcW w:w="989"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2</w:t>
            </w:r>
          </w:p>
        </w:tc>
        <w:tc>
          <w:tcPr>
            <w:tcW w:w="3209" w:type="dxa"/>
          </w:tcPr>
          <w:p w:rsidR="00BB0B11" w:rsidRPr="0057576B" w:rsidRDefault="009C4CA5" w:rsidP="00F17E43">
            <w:r w:rsidRPr="009C4CA5">
              <w:t xml:space="preserve">Количество программ </w:t>
            </w:r>
            <w:r w:rsidR="00BB0B11" w:rsidRPr="00323CD0">
              <w:t>магистратуры</w:t>
            </w:r>
            <w:r w:rsidR="00BB0B11" w:rsidRPr="0057576B">
              <w:t>, читаемых на иностранном язы</w:t>
            </w:r>
            <w:r w:rsidR="00BB0B11">
              <w:t>ке</w:t>
            </w:r>
          </w:p>
        </w:tc>
        <w:tc>
          <w:tcPr>
            <w:tcW w:w="5670" w:type="dxa"/>
          </w:tcPr>
          <w:p w:rsidR="00BB0B11" w:rsidRDefault="009C4CA5" w:rsidP="00F17E43">
            <w:pPr>
              <w:tabs>
                <w:tab w:val="num" w:pos="72"/>
              </w:tabs>
              <w:ind w:left="72"/>
            </w:pPr>
            <w:r w:rsidRPr="009C4CA5">
              <w:t xml:space="preserve">Количество программ </w:t>
            </w:r>
            <w:r w:rsidR="00BB0B11" w:rsidRPr="000136E1">
              <w:t>магистратуры, читаем</w:t>
            </w:r>
            <w:r>
              <w:t>ых</w:t>
            </w:r>
            <w:r w:rsidR="00BB0B11" w:rsidRPr="000136E1">
              <w:t xml:space="preserve"> на иностранном языке</w:t>
            </w:r>
            <w:r w:rsidR="00BB0B11">
              <w:t xml:space="preserve"> в институте к общему числу программ магистратуры института.</w:t>
            </w:r>
          </w:p>
          <w:p w:rsidR="00BB0B11" w:rsidRPr="000136E1" w:rsidRDefault="00BB0B11" w:rsidP="00F17E43">
            <w:pPr>
              <w:tabs>
                <w:tab w:val="num" w:pos="72"/>
              </w:tabs>
              <w:ind w:left="72"/>
            </w:pPr>
            <w:r w:rsidRPr="000136E1">
              <w:t>Под программой магистратуры, читаемой на иностранном языке, понимается программа магистратуры, минимум 40% дисциплин которой (по учебному плану) могут быть прочитаны на иностранном языке, т.е. имеется методическое обеспечение на иностранном языке и институтом заключен договор с преподавателем, владеющий данным иностранным языком в достаточной степени, чтобы читать этот курс.</w:t>
            </w:r>
          </w:p>
          <w:p w:rsidR="00BB0B11" w:rsidRPr="000136E1" w:rsidRDefault="00BB0B11" w:rsidP="00F17E43">
            <w:pPr>
              <w:tabs>
                <w:tab w:val="num" w:pos="72"/>
              </w:tabs>
              <w:ind w:left="72"/>
            </w:pPr>
            <w:r w:rsidRPr="000136E1">
              <w:t xml:space="preserve">Из расчета исключаются курсы иностранных языков. </w:t>
            </w:r>
          </w:p>
          <w:p w:rsidR="00BB0B11" w:rsidRPr="000136E1" w:rsidRDefault="00BB0B11" w:rsidP="00F17E43">
            <w:pPr>
              <w:tabs>
                <w:tab w:val="num" w:pos="72"/>
              </w:tabs>
              <w:ind w:left="72"/>
            </w:pPr>
            <w:r w:rsidRPr="000136E1">
              <w:t xml:space="preserve">Под методическим обеспечением на иностранном языке понимается, </w:t>
            </w:r>
            <w:r>
              <w:t>рабочая программа дисциплины и м</w:t>
            </w:r>
            <w:r w:rsidRPr="000136E1">
              <w:t>атериалы, устанавливающие содержание и порядок проведения промежуточных и итоговых аттестаций (в со</w:t>
            </w:r>
            <w:r>
              <w:t>ответствии с требованиями к ито</w:t>
            </w:r>
            <w:r w:rsidRPr="000136E1">
              <w:t>говой аттестации, установленными государственными об</w:t>
            </w:r>
            <w:r>
              <w:t>разовательными стан</w:t>
            </w:r>
            <w:r w:rsidRPr="000136E1">
              <w:t>дартами высшего профессионального образования).</w:t>
            </w:r>
          </w:p>
          <w:p w:rsidR="00BB0B11" w:rsidRDefault="00BB0B11" w:rsidP="00F17E43">
            <w:pPr>
              <w:tabs>
                <w:tab w:val="num" w:pos="72"/>
              </w:tabs>
              <w:ind w:left="72"/>
            </w:pPr>
            <w:r>
              <w:t>П</w:t>
            </w:r>
            <w:r w:rsidRPr="000136E1">
              <w:t xml:space="preserve">од иностранным языком в рамках одной программы магистратуры имеется в виду </w:t>
            </w:r>
            <w:r>
              <w:t xml:space="preserve">один и тот же </w:t>
            </w:r>
            <w:r w:rsidRPr="000136E1">
              <w:t>иностранный язык.</w:t>
            </w:r>
          </w:p>
          <w:p w:rsidR="00BB0B11" w:rsidRPr="000136E1" w:rsidRDefault="00BB0B11" w:rsidP="00F17E43">
            <w:pPr>
              <w:tabs>
                <w:tab w:val="num" w:pos="72"/>
              </w:tabs>
              <w:ind w:left="72"/>
            </w:pPr>
            <w:r>
              <w:t xml:space="preserve">Реестр </w:t>
            </w:r>
            <w:r w:rsidRPr="000136E1">
              <w:t>программ магистратуры, читаемой на иностранном языке</w:t>
            </w:r>
            <w:r>
              <w:t xml:space="preserve"> ведется </w:t>
            </w:r>
            <w:r w:rsidRPr="0057576B">
              <w:t>Международны</w:t>
            </w:r>
            <w:r>
              <w:t>м</w:t>
            </w:r>
            <w:r w:rsidRPr="0057576B">
              <w:t xml:space="preserve"> отдел</w:t>
            </w:r>
            <w:r>
              <w:t>ом на основании разработанного положения и документированной процедуры.</w:t>
            </w:r>
          </w:p>
          <w:p w:rsidR="00BB0B11" w:rsidRPr="00E7778F" w:rsidRDefault="00BB0B11" w:rsidP="00F17E43">
            <w:pPr>
              <w:tabs>
                <w:tab w:val="num" w:pos="72"/>
              </w:tabs>
              <w:ind w:left="72"/>
              <w:rPr>
                <w:color w:val="000000"/>
              </w:rPr>
            </w:pPr>
            <w:r w:rsidRPr="0057576B">
              <w:t xml:space="preserve">Подсчет ведется за </w:t>
            </w:r>
            <w:r w:rsidRPr="0057576B">
              <w:rPr>
                <w:color w:val="000000"/>
              </w:rPr>
              <w:t>календарный (отчетный) год.</w:t>
            </w:r>
          </w:p>
        </w:tc>
        <w:tc>
          <w:tcPr>
            <w:tcW w:w="2542" w:type="dxa"/>
          </w:tcPr>
          <w:p w:rsidR="00BB0B11" w:rsidRPr="0057576B" w:rsidRDefault="00BB0B11" w:rsidP="00F17E43">
            <w:pPr>
              <w:tabs>
                <w:tab w:val="num" w:pos="72"/>
              </w:tabs>
              <w:ind w:left="72"/>
            </w:pPr>
          </w:p>
        </w:tc>
        <w:tc>
          <w:tcPr>
            <w:tcW w:w="2120" w:type="dxa"/>
          </w:tcPr>
          <w:p w:rsidR="00BB0B11" w:rsidRPr="0057576B" w:rsidRDefault="00BB0B11" w:rsidP="00F17E43">
            <w:r w:rsidRPr="0057576B">
              <w:t>Международный отдел</w:t>
            </w:r>
          </w:p>
          <w:p w:rsidR="00BB0B11" w:rsidRPr="0057576B" w:rsidRDefault="00BB0B11" w:rsidP="00F17E43"/>
          <w:p w:rsidR="00BB0B11" w:rsidRPr="0057576B" w:rsidRDefault="00BB0B11" w:rsidP="00F17E43"/>
        </w:tc>
        <w:tc>
          <w:tcPr>
            <w:tcW w:w="848" w:type="dxa"/>
          </w:tcPr>
          <w:p w:rsidR="00BB0B11" w:rsidRPr="0057576B" w:rsidRDefault="00BB0B11" w:rsidP="00841D45">
            <w:pPr>
              <w:jc w:val="center"/>
            </w:pPr>
            <w:r w:rsidRPr="0057576B">
              <w:t>1</w:t>
            </w:r>
            <w:r w:rsidR="00841D45">
              <w:t>0</w:t>
            </w:r>
          </w:p>
        </w:tc>
        <w:tc>
          <w:tcPr>
            <w:tcW w:w="989"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3</w:t>
            </w:r>
          </w:p>
        </w:tc>
        <w:tc>
          <w:tcPr>
            <w:tcW w:w="3209" w:type="dxa"/>
          </w:tcPr>
          <w:p w:rsidR="00BB0B11" w:rsidRPr="0057576B" w:rsidRDefault="00BB0B11" w:rsidP="00F17E43">
            <w:r w:rsidRPr="0057576B">
              <w:t xml:space="preserve">Доля иностранных студентов в общей численности студентов института </w:t>
            </w:r>
            <w:r w:rsidRPr="00843E68">
              <w:t>в год</w:t>
            </w:r>
          </w:p>
        </w:tc>
        <w:tc>
          <w:tcPr>
            <w:tcW w:w="5670" w:type="dxa"/>
          </w:tcPr>
          <w:p w:rsidR="00BB0B11" w:rsidRPr="0057576B" w:rsidRDefault="00BB0B11" w:rsidP="00F17E43">
            <w:pPr>
              <w:tabs>
                <w:tab w:val="num" w:pos="72"/>
              </w:tabs>
              <w:ind w:left="72"/>
            </w:pPr>
            <w:r w:rsidRPr="0057576B">
              <w:t>Под иностранным студентом понимается студент или слушатель УрФУ с иностранным гражданством, зачисленный на программу или курс УрФУ установленным образом.</w:t>
            </w:r>
          </w:p>
          <w:p w:rsidR="00BB0B11" w:rsidRDefault="00BB0B11" w:rsidP="00F17E43">
            <w:pPr>
              <w:tabs>
                <w:tab w:val="num" w:pos="72"/>
              </w:tabs>
              <w:ind w:left="72"/>
            </w:pPr>
            <w:r w:rsidRPr="0057576B">
              <w:t>Подсчет иностранных студентов и слушателей ведется по приведенному контингенту</w:t>
            </w:r>
            <w:r w:rsidR="001812FD">
              <w:t>, исключая студентов, зачисленных на подготовительное отделение</w:t>
            </w:r>
            <w:r w:rsidRPr="0057576B">
              <w:t>.</w:t>
            </w:r>
          </w:p>
          <w:p w:rsidR="00BB0B11" w:rsidRDefault="00BB0B11" w:rsidP="00F17E43">
            <w:pPr>
              <w:tabs>
                <w:tab w:val="num" w:pos="72"/>
              </w:tabs>
              <w:ind w:left="72"/>
            </w:pPr>
            <w:r>
              <w:t>Общая численность студентов института определяется по приведенному контингенту студентов института на 10 октября отчетного года.</w:t>
            </w:r>
          </w:p>
          <w:p w:rsidR="00BB0B11" w:rsidRPr="0057576B" w:rsidRDefault="00BB0B11" w:rsidP="00F17E43">
            <w:r>
              <w:t>Аспиранты очной формы обучения учитываются как очные студенты.</w:t>
            </w:r>
          </w:p>
        </w:tc>
        <w:tc>
          <w:tcPr>
            <w:tcW w:w="2542" w:type="dxa"/>
          </w:tcPr>
          <w:p w:rsidR="00BB0B11" w:rsidRPr="0057576B" w:rsidRDefault="00BB0B11" w:rsidP="00F17E43">
            <w:pPr>
              <w:tabs>
                <w:tab w:val="num" w:pos="72"/>
              </w:tabs>
              <w:ind w:left="72"/>
            </w:pPr>
            <w:r w:rsidRPr="0057576B">
              <w:t xml:space="preserve">Данный показатель является одним из </w:t>
            </w:r>
            <w:r>
              <w:t xml:space="preserve">шести </w:t>
            </w:r>
            <w:r w:rsidRPr="0057576B">
              <w:t>в рейтинге QS</w:t>
            </w:r>
            <w:r>
              <w:t>, с весом 5%.</w:t>
            </w:r>
          </w:p>
        </w:tc>
        <w:tc>
          <w:tcPr>
            <w:tcW w:w="2120" w:type="dxa"/>
          </w:tcPr>
          <w:p w:rsidR="00BB0B11" w:rsidRPr="0057576B" w:rsidRDefault="00BB0B11" w:rsidP="00F17E43">
            <w:r w:rsidRPr="0057576B">
              <w:t xml:space="preserve">Центр по </w:t>
            </w:r>
            <w:r>
              <w:t>работе с иностранными учащимися</w:t>
            </w:r>
          </w:p>
          <w:p w:rsidR="00BB0B11" w:rsidRPr="0057576B" w:rsidRDefault="00BB0B11" w:rsidP="00F17E43"/>
        </w:tc>
        <w:tc>
          <w:tcPr>
            <w:tcW w:w="848" w:type="dxa"/>
          </w:tcPr>
          <w:p w:rsidR="00BB0B11" w:rsidRPr="0057576B" w:rsidRDefault="00BB0B11" w:rsidP="00F17E43">
            <w:pPr>
              <w:jc w:val="center"/>
            </w:pPr>
            <w:r w:rsidRPr="0057576B">
              <w:t>2</w:t>
            </w:r>
            <w:r w:rsidR="00841D45">
              <w:t>5</w:t>
            </w:r>
          </w:p>
        </w:tc>
        <w:tc>
          <w:tcPr>
            <w:tcW w:w="989"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4</w:t>
            </w:r>
          </w:p>
        </w:tc>
        <w:tc>
          <w:tcPr>
            <w:tcW w:w="3209" w:type="dxa"/>
          </w:tcPr>
          <w:p w:rsidR="00BB0B11" w:rsidRPr="0057576B" w:rsidRDefault="00BB0B11" w:rsidP="00F17E43">
            <w:pPr>
              <w:spacing w:after="120"/>
              <w:ind w:left="34"/>
              <w:jc w:val="both"/>
            </w:pPr>
            <w:r w:rsidRPr="000F6C3F">
              <w:t xml:space="preserve">Доля привлеченного международного финансирования в </w:t>
            </w:r>
            <w:r>
              <w:t>с</w:t>
            </w:r>
            <w:r w:rsidRPr="00843E68">
              <w:t>овокупн</w:t>
            </w:r>
            <w:r>
              <w:t>ом</w:t>
            </w:r>
            <w:r w:rsidRPr="00843E68">
              <w:t xml:space="preserve"> объем</w:t>
            </w:r>
            <w:r>
              <w:t>е</w:t>
            </w:r>
            <w:r w:rsidRPr="00843E68">
              <w:t xml:space="preserve"> поступлений (доходов) института</w:t>
            </w:r>
          </w:p>
        </w:tc>
        <w:tc>
          <w:tcPr>
            <w:tcW w:w="5670" w:type="dxa"/>
          </w:tcPr>
          <w:p w:rsidR="00BB0B11" w:rsidRPr="0057576B" w:rsidRDefault="00BB0B11" w:rsidP="00F17E43">
            <w:pPr>
              <w:spacing w:after="120"/>
              <w:ind w:left="34"/>
              <w:jc w:val="both"/>
            </w:pPr>
            <w:r w:rsidRPr="0057576B">
              <w:t>Международным считается финансирование, пришедшее из зарубежных источников, что подтверждается соответствующими документами. Данное финансирование может проходить в денежной форме через счет института, но также может быть внесено целевым образом в качестве оплаты товаров,  работ, услуг иностранной (международной) организацией в пользу третьего лица – УрФУ – или в качестве оплаты товаров, работ, услуг иностранной (международной) организацией при проведении совместных мероприятий с УрФУ.</w:t>
            </w:r>
          </w:p>
          <w:p w:rsidR="00BB0B11" w:rsidRPr="0057576B" w:rsidRDefault="00BB0B11" w:rsidP="00F17E43">
            <w:pPr>
              <w:spacing w:after="120"/>
              <w:ind w:left="34"/>
              <w:jc w:val="both"/>
            </w:pPr>
            <w:r w:rsidRPr="000F6C3F">
              <w:t>Под иностранной (международной) организацией понимается юридическое лицо, полностью или частично осуществляющее свою деятельность за счет финансирования от источников иностранного происхождения. При этом такое юридическое лицо может быть зарегистрировано на территории Российской Федерации в качестве российского резидента</w:t>
            </w:r>
            <w:r w:rsidRPr="0057576B">
              <w:t>.</w:t>
            </w:r>
          </w:p>
          <w:p w:rsidR="00BB0B11" w:rsidRPr="0057576B" w:rsidRDefault="00BB0B11" w:rsidP="00F17E43">
            <w:pPr>
              <w:pStyle w:val="af4"/>
              <w:ind w:left="34"/>
              <w:jc w:val="both"/>
              <w:rPr>
                <w:szCs w:val="24"/>
              </w:rPr>
            </w:pPr>
            <w:r w:rsidRPr="0057576B">
              <w:rPr>
                <w:szCs w:val="24"/>
              </w:rPr>
              <w:t xml:space="preserve">Средства, которые не проходят через счет университета, могут быть учтены, если в качестве подтверждающего документа будет предоставлен договор между грантодающей организацией и третьим лицом-исполнителем, где УрФУ или конкретное подразделение университета будет указано в качестве прямого выгодополучателя от услуг по данному договору. Также может быть принят к учету договор гранта с физическим лицом-сотрудником университета, если в договоре будет указано, что данное лицо является сотрудником </w:t>
            </w:r>
            <w:r>
              <w:rPr>
                <w:szCs w:val="24"/>
              </w:rPr>
              <w:t>Университета</w:t>
            </w:r>
            <w:r w:rsidRPr="0057576B">
              <w:rPr>
                <w:szCs w:val="24"/>
              </w:rPr>
              <w:t>.</w:t>
            </w:r>
          </w:p>
          <w:p w:rsidR="00BB0B11" w:rsidRDefault="00BB0B11" w:rsidP="00F17E43">
            <w:pPr>
              <w:pStyle w:val="af4"/>
              <w:ind w:left="34"/>
              <w:jc w:val="both"/>
              <w:rPr>
                <w:szCs w:val="24"/>
              </w:rPr>
            </w:pPr>
            <w:r>
              <w:rPr>
                <w:szCs w:val="24"/>
              </w:rPr>
              <w:t>П</w:t>
            </w:r>
            <w:r w:rsidRPr="0057576B">
              <w:rPr>
                <w:szCs w:val="24"/>
              </w:rPr>
              <w:t>ри привлечении финансирования в качестве оплаты товаров, работ или услуг суммы рассчитываются в денежном эквиваленте по имеющимся документам</w:t>
            </w:r>
            <w:r>
              <w:rPr>
                <w:szCs w:val="24"/>
              </w:rPr>
              <w:t>.</w:t>
            </w:r>
          </w:p>
          <w:p w:rsidR="00BB0B11" w:rsidRDefault="00BB0B11" w:rsidP="00F17E43">
            <w:pPr>
              <w:pStyle w:val="af4"/>
              <w:ind w:left="34"/>
              <w:jc w:val="both"/>
              <w:rPr>
                <w:szCs w:val="24"/>
              </w:rPr>
            </w:pPr>
            <w:r w:rsidRPr="0057576B">
              <w:t xml:space="preserve">Совокупный объем поступлений (доходов) института рассчитывается как сумма несубсидируемых поступлений (доходов) и </w:t>
            </w:r>
            <w:r w:rsidRPr="00164E34">
              <w:t>субсидий, поступивших на лицевые счета института, до вычета</w:t>
            </w:r>
            <w:r>
              <w:t xml:space="preserve"> централизованных отчислений</w:t>
            </w:r>
            <w:r w:rsidRPr="0057576B">
              <w:t>.</w:t>
            </w:r>
          </w:p>
          <w:p w:rsidR="00BB0B11" w:rsidRPr="0057576B" w:rsidRDefault="00BB0B11" w:rsidP="00F17E43">
            <w:pPr>
              <w:pStyle w:val="af4"/>
              <w:ind w:left="34"/>
              <w:jc w:val="both"/>
              <w:rPr>
                <w:szCs w:val="24"/>
              </w:rPr>
            </w:pPr>
            <w:r w:rsidRPr="0057576B">
              <w:t>При спорных случаях решение принимает Комиссия по рейтингу на основании экспертизы Международн</w:t>
            </w:r>
            <w:r>
              <w:t>ого</w:t>
            </w:r>
            <w:r w:rsidRPr="0057576B">
              <w:t xml:space="preserve"> отдел</w:t>
            </w:r>
            <w:r>
              <w:t>а</w:t>
            </w:r>
            <w:r w:rsidRPr="0057576B">
              <w:t xml:space="preserve"> и представления Институ</w:t>
            </w:r>
            <w:r>
              <w:t>та.</w:t>
            </w:r>
          </w:p>
        </w:tc>
        <w:tc>
          <w:tcPr>
            <w:tcW w:w="2542" w:type="dxa"/>
          </w:tcPr>
          <w:p w:rsidR="00BB0B11" w:rsidRPr="0057576B" w:rsidRDefault="00BB0B11" w:rsidP="00F17E43">
            <w:pPr>
              <w:tabs>
                <w:tab w:val="num" w:pos="72"/>
              </w:tabs>
              <w:ind w:left="72"/>
            </w:pPr>
            <w:r>
              <w:t>У</w:t>
            </w:r>
            <w:r w:rsidRPr="0057576B">
              <w:t xml:space="preserve">ровень активности институтов в работе с зарубежными фондами и организациями </w:t>
            </w:r>
          </w:p>
        </w:tc>
        <w:tc>
          <w:tcPr>
            <w:tcW w:w="2120" w:type="dxa"/>
          </w:tcPr>
          <w:p w:rsidR="00BB0B11" w:rsidRDefault="00BB0B11" w:rsidP="00F17E43">
            <w:r>
              <w:t>УБУиФК</w:t>
            </w:r>
          </w:p>
          <w:p w:rsidR="00BB0B11" w:rsidRPr="0057576B" w:rsidRDefault="00BB0B11" w:rsidP="00F17E43">
            <w:r w:rsidRPr="0057576B">
              <w:t xml:space="preserve">Институты </w:t>
            </w:r>
          </w:p>
        </w:tc>
        <w:tc>
          <w:tcPr>
            <w:tcW w:w="848" w:type="dxa"/>
          </w:tcPr>
          <w:p w:rsidR="00BB0B11" w:rsidRPr="0057576B" w:rsidRDefault="00BB0B11" w:rsidP="00F17E43">
            <w:pPr>
              <w:jc w:val="center"/>
            </w:pPr>
            <w:r w:rsidRPr="0057576B">
              <w:t>15</w:t>
            </w:r>
          </w:p>
        </w:tc>
        <w:tc>
          <w:tcPr>
            <w:tcW w:w="989"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5</w:t>
            </w:r>
          </w:p>
        </w:tc>
        <w:tc>
          <w:tcPr>
            <w:tcW w:w="3209" w:type="dxa"/>
          </w:tcPr>
          <w:p w:rsidR="00BB0B11" w:rsidRPr="0057576B" w:rsidRDefault="00BB0B11" w:rsidP="00F17E43">
            <w:r w:rsidRPr="0057576B">
              <w:t>Количество научно-исследовательских проектов, выполняемых с международным уча</w:t>
            </w:r>
            <w:r>
              <w:t>стием</w:t>
            </w:r>
          </w:p>
        </w:tc>
        <w:tc>
          <w:tcPr>
            <w:tcW w:w="5670" w:type="dxa"/>
          </w:tcPr>
          <w:p w:rsidR="00BB0B11" w:rsidRPr="0057576B" w:rsidRDefault="00BB0B11" w:rsidP="00F17E43">
            <w:pPr>
              <w:jc w:val="both"/>
            </w:pPr>
            <w:r w:rsidRPr="0057576B">
              <w:t xml:space="preserve">Проектами с международным участием считаются проекты продолжительностью минимум три месяца, в которых принимает участие хотя бы один специалист с иностранным гражданством или присутствует международное финансирование. Определение международного финансирования см в п. </w:t>
            </w:r>
            <w:r w:rsidRPr="00F17E43">
              <w:t>5</w:t>
            </w:r>
            <w:r>
              <w:t>.</w:t>
            </w:r>
            <w:r w:rsidRPr="0057576B">
              <w:t>4.</w:t>
            </w:r>
          </w:p>
          <w:p w:rsidR="00BB0B11" w:rsidRPr="0057576B" w:rsidRDefault="00BB0B11" w:rsidP="00F17E43">
            <w:r w:rsidRPr="0057576B">
              <w:t>Подтверждающим документом может являться: приказ о проведении международного мероприятия, договор, госконтракт, соглашение о совместном проведении мероприятия с указанием сроков и исполнителей.</w:t>
            </w:r>
          </w:p>
          <w:p w:rsidR="00BB0B11" w:rsidRDefault="00BB0B11" w:rsidP="00F17E43">
            <w:pPr>
              <w:jc w:val="both"/>
            </w:pPr>
            <w:r w:rsidRPr="0057576B">
              <w:t>Количество проектов определяется простым подсчетом таких проектов в год с приложением списка проектов и описанием международной составляющей проек</w:t>
            </w:r>
            <w:r>
              <w:t xml:space="preserve">та. </w:t>
            </w:r>
          </w:p>
          <w:p w:rsidR="00BB0B11" w:rsidRPr="0057576B" w:rsidRDefault="00BB0B11" w:rsidP="00F17E43">
            <w:r w:rsidRPr="0057576B">
              <w:t>При спорных случаях решение принимает Комиссия по рейтингу на основании экспертизы Международн</w:t>
            </w:r>
            <w:r>
              <w:t>ого</w:t>
            </w:r>
            <w:r w:rsidRPr="0057576B">
              <w:t xml:space="preserve"> отдел</w:t>
            </w:r>
            <w:r>
              <w:t>а</w:t>
            </w:r>
            <w:r w:rsidRPr="0057576B">
              <w:t xml:space="preserve"> и представления Институ</w:t>
            </w:r>
            <w:r>
              <w:t>та.</w:t>
            </w:r>
          </w:p>
        </w:tc>
        <w:tc>
          <w:tcPr>
            <w:tcW w:w="2542" w:type="dxa"/>
          </w:tcPr>
          <w:p w:rsidR="00BB0B11" w:rsidRPr="0057576B" w:rsidRDefault="00BB0B11" w:rsidP="00F17E43">
            <w:pPr>
              <w:tabs>
                <w:tab w:val="num" w:pos="72"/>
              </w:tabs>
              <w:ind w:left="72"/>
            </w:pPr>
          </w:p>
        </w:tc>
        <w:tc>
          <w:tcPr>
            <w:tcW w:w="2120" w:type="dxa"/>
          </w:tcPr>
          <w:p w:rsidR="00BB0B11" w:rsidRPr="0057576B" w:rsidRDefault="00BB0B11" w:rsidP="00F17E43">
            <w:r>
              <w:t>Институты</w:t>
            </w:r>
          </w:p>
          <w:p w:rsidR="00BB0B11" w:rsidRPr="0057576B" w:rsidRDefault="00BB0B11" w:rsidP="00F17E43"/>
        </w:tc>
        <w:tc>
          <w:tcPr>
            <w:tcW w:w="848" w:type="dxa"/>
          </w:tcPr>
          <w:p w:rsidR="00BB0B11" w:rsidRPr="0057576B" w:rsidRDefault="00BB0B11" w:rsidP="00F17E43">
            <w:pPr>
              <w:jc w:val="center"/>
            </w:pPr>
            <w:r w:rsidRPr="0057576B">
              <w:t>15</w:t>
            </w:r>
          </w:p>
        </w:tc>
        <w:tc>
          <w:tcPr>
            <w:tcW w:w="989"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6</w:t>
            </w:r>
          </w:p>
        </w:tc>
        <w:tc>
          <w:tcPr>
            <w:tcW w:w="3209" w:type="dxa"/>
          </w:tcPr>
          <w:p w:rsidR="00BB0B11" w:rsidRPr="00F53098" w:rsidRDefault="00BB0B11" w:rsidP="00F17E43">
            <w:r w:rsidRPr="00F53098">
              <w:t>Доля статей с иностранным участием</w:t>
            </w:r>
          </w:p>
        </w:tc>
        <w:tc>
          <w:tcPr>
            <w:tcW w:w="5670" w:type="dxa"/>
          </w:tcPr>
          <w:p w:rsidR="00BB0B11" w:rsidRPr="00F53098" w:rsidRDefault="00BB0B11" w:rsidP="00F17E43">
            <w:pPr>
              <w:jc w:val="both"/>
            </w:pPr>
            <w:r w:rsidRPr="00F53098">
              <w:t xml:space="preserve">Определяется, как число статей, где хотя бы один участник указал в качестве места работы иностранную организацию, к общему числу статей института, отраженных в индексах цитирования </w:t>
            </w:r>
            <w:r w:rsidRPr="00F53098">
              <w:rPr>
                <w:lang w:val="en-US"/>
              </w:rPr>
              <w:t>SCOPUS</w:t>
            </w:r>
            <w:r w:rsidRPr="00F53098">
              <w:t xml:space="preserve"> или </w:t>
            </w:r>
            <w:r w:rsidRPr="00F53098">
              <w:rPr>
                <w:lang w:val="en-US"/>
              </w:rPr>
              <w:t>Web</w:t>
            </w:r>
            <w:r w:rsidRPr="00F53098">
              <w:t xml:space="preserve"> </w:t>
            </w:r>
            <w:r w:rsidRPr="00F53098">
              <w:rPr>
                <w:lang w:val="en-US"/>
              </w:rPr>
              <w:t>of</w:t>
            </w:r>
            <w:r w:rsidRPr="00F53098">
              <w:t xml:space="preserve"> </w:t>
            </w:r>
            <w:r w:rsidRPr="00F53098">
              <w:rPr>
                <w:lang w:val="en-US"/>
              </w:rPr>
              <w:t>Science</w:t>
            </w:r>
            <w:r w:rsidRPr="00F53098">
              <w:t xml:space="preserve"> (статья, отраженная в обоих индексах учитывается один раз). Статья, написанная в соавторстве с ученым другого института, засчитывается каждому институту.</w:t>
            </w:r>
          </w:p>
          <w:p w:rsidR="00BB0B11" w:rsidRPr="00F53098" w:rsidRDefault="00BB0B11" w:rsidP="00F17E43">
            <w:pPr>
              <w:jc w:val="both"/>
            </w:pPr>
            <w:r w:rsidRPr="00F53098">
              <w:t>Отнесение статьи к институту определяется на основании данных, собираемых для показателя 2.3.</w:t>
            </w:r>
          </w:p>
        </w:tc>
        <w:tc>
          <w:tcPr>
            <w:tcW w:w="2542" w:type="dxa"/>
          </w:tcPr>
          <w:p w:rsidR="00BB0B11" w:rsidRPr="0057576B" w:rsidRDefault="00BB0B11" w:rsidP="00F17E43">
            <w:pPr>
              <w:tabs>
                <w:tab w:val="num" w:pos="72"/>
              </w:tabs>
              <w:ind w:left="72"/>
            </w:pPr>
            <w:r w:rsidRPr="0057576B">
              <w:t>Свидетельствует о связи ученых института с международным сообществом.</w:t>
            </w:r>
          </w:p>
        </w:tc>
        <w:tc>
          <w:tcPr>
            <w:tcW w:w="2120" w:type="dxa"/>
          </w:tcPr>
          <w:p w:rsidR="00BB0B11" w:rsidRPr="0057576B" w:rsidRDefault="00BB0B11" w:rsidP="00F17E43">
            <w:r w:rsidRPr="0057576B">
              <w:t>ЦМНиО</w:t>
            </w:r>
          </w:p>
          <w:p w:rsidR="00BB0B11" w:rsidRPr="0057576B" w:rsidRDefault="00BB0B11" w:rsidP="00F17E43"/>
        </w:tc>
        <w:tc>
          <w:tcPr>
            <w:tcW w:w="848" w:type="dxa"/>
          </w:tcPr>
          <w:p w:rsidR="00BB0B11" w:rsidRPr="0057576B" w:rsidRDefault="00BB0B11" w:rsidP="00F17E43">
            <w:pPr>
              <w:jc w:val="center"/>
            </w:pPr>
            <w:r w:rsidRPr="0057576B">
              <w:t>20</w:t>
            </w:r>
          </w:p>
        </w:tc>
        <w:tc>
          <w:tcPr>
            <w:tcW w:w="989" w:type="dxa"/>
          </w:tcPr>
          <w:p w:rsidR="00BB0B11" w:rsidRPr="0057576B" w:rsidRDefault="00BB0B11" w:rsidP="00F17E43">
            <w:r w:rsidRPr="0057576B">
              <w:t>%</w:t>
            </w:r>
          </w:p>
        </w:tc>
      </w:tr>
    </w:tbl>
    <w:p w:rsidR="00BB0B11" w:rsidRDefault="00BB0B11" w:rsidP="00F17E43"/>
    <w:p w:rsidR="00D92F7E" w:rsidRPr="0057576B" w:rsidRDefault="00D92F7E" w:rsidP="00F17E43"/>
    <w:p w:rsidR="00BB0B11" w:rsidRPr="0057576B" w:rsidRDefault="00BB0B11" w:rsidP="00F17E43">
      <w:pPr>
        <w:rPr>
          <w:b/>
          <w:u w:val="single"/>
          <w:lang w:val="en-US"/>
        </w:rPr>
      </w:pPr>
      <w:r w:rsidRPr="0057576B">
        <w:rPr>
          <w:b/>
          <w:u w:val="single"/>
        </w:rPr>
        <w:t>6. Финансово-экономическое положение</w:t>
      </w:r>
    </w:p>
    <w:p w:rsidR="00BB0B11" w:rsidRPr="0057576B" w:rsidRDefault="00BB0B11" w:rsidP="00F17E43">
      <w:pPr>
        <w:rPr>
          <w:b/>
          <w:u w:val="single"/>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3209"/>
        <w:gridCol w:w="5670"/>
        <w:gridCol w:w="2552"/>
        <w:gridCol w:w="2126"/>
        <w:gridCol w:w="850"/>
        <w:gridCol w:w="992"/>
      </w:tblGrid>
      <w:tr w:rsidR="00BB0B11" w:rsidRPr="0057576B" w:rsidTr="00F17E43">
        <w:trPr>
          <w:tblHeader/>
        </w:trPr>
        <w:tc>
          <w:tcPr>
            <w:tcW w:w="335" w:type="dxa"/>
            <w:shd w:val="clear" w:color="auto" w:fill="D9D9D9"/>
            <w:vAlign w:val="center"/>
          </w:tcPr>
          <w:p w:rsidR="00BB0B11" w:rsidRPr="0057576B" w:rsidRDefault="00BB0B11" w:rsidP="00F17E43">
            <w:pPr>
              <w:jc w:val="center"/>
              <w:rPr>
                <w:b/>
              </w:rPr>
            </w:pPr>
          </w:p>
        </w:tc>
        <w:tc>
          <w:tcPr>
            <w:tcW w:w="3209" w:type="dxa"/>
            <w:shd w:val="clear" w:color="auto" w:fill="D9D9D9"/>
            <w:vAlign w:val="center"/>
          </w:tcPr>
          <w:p w:rsidR="00BB0B11" w:rsidRPr="0057576B" w:rsidRDefault="00BB0B11" w:rsidP="00F17E43">
            <w:pPr>
              <w:jc w:val="center"/>
              <w:rPr>
                <w:b/>
              </w:rPr>
            </w:pPr>
            <w:r w:rsidRPr="0057576B">
              <w:rPr>
                <w:b/>
              </w:rPr>
              <w:t>Показатель</w:t>
            </w:r>
          </w:p>
        </w:tc>
        <w:tc>
          <w:tcPr>
            <w:tcW w:w="5670" w:type="dxa"/>
            <w:shd w:val="clear" w:color="auto" w:fill="D9D9D9"/>
            <w:vAlign w:val="center"/>
          </w:tcPr>
          <w:p w:rsidR="00BB0B11" w:rsidRPr="0057576B" w:rsidRDefault="00BB0B11" w:rsidP="00F17E43">
            <w:pPr>
              <w:jc w:val="center"/>
              <w:rPr>
                <w:b/>
              </w:rPr>
            </w:pPr>
            <w:r w:rsidRPr="0057576B">
              <w:rPr>
                <w:b/>
              </w:rPr>
              <w:t xml:space="preserve">Учитываемые элементы, </w:t>
            </w:r>
          </w:p>
          <w:p w:rsidR="00BB0B11" w:rsidRPr="0057576B" w:rsidRDefault="00BB0B11" w:rsidP="00F17E43">
            <w:pPr>
              <w:jc w:val="center"/>
              <w:rPr>
                <w:b/>
              </w:rPr>
            </w:pPr>
            <w:r w:rsidRPr="0057576B">
              <w:rPr>
                <w:b/>
              </w:rPr>
              <w:t>способ расчета</w:t>
            </w:r>
          </w:p>
        </w:tc>
        <w:tc>
          <w:tcPr>
            <w:tcW w:w="2552" w:type="dxa"/>
            <w:shd w:val="clear" w:color="auto" w:fill="D9D9D9"/>
            <w:vAlign w:val="center"/>
          </w:tcPr>
          <w:p w:rsidR="00BB0B11" w:rsidRPr="0057576B" w:rsidRDefault="00BB0B11" w:rsidP="00F17E43">
            <w:pPr>
              <w:jc w:val="center"/>
              <w:rPr>
                <w:b/>
              </w:rPr>
            </w:pPr>
            <w:r w:rsidRPr="0057576B">
              <w:rPr>
                <w:b/>
              </w:rPr>
              <w:t xml:space="preserve">Обоснование, </w:t>
            </w:r>
          </w:p>
          <w:p w:rsidR="00BB0B11" w:rsidRPr="0057576B" w:rsidRDefault="00BB0B11" w:rsidP="00F17E43">
            <w:pPr>
              <w:jc w:val="center"/>
              <w:rPr>
                <w:b/>
              </w:rPr>
            </w:pPr>
            <w:r w:rsidRPr="0057576B">
              <w:rPr>
                <w:b/>
              </w:rPr>
              <w:t>как влияет на развитие</w:t>
            </w:r>
          </w:p>
        </w:tc>
        <w:tc>
          <w:tcPr>
            <w:tcW w:w="2126" w:type="dxa"/>
            <w:shd w:val="clear" w:color="auto" w:fill="D9D9D9"/>
            <w:vAlign w:val="center"/>
          </w:tcPr>
          <w:p w:rsidR="00BB0B11" w:rsidRPr="0057576B" w:rsidRDefault="00BB0B11" w:rsidP="00F17E43">
            <w:pPr>
              <w:jc w:val="center"/>
              <w:rPr>
                <w:b/>
              </w:rPr>
            </w:pPr>
            <w:r w:rsidRPr="0057576B">
              <w:rPr>
                <w:b/>
              </w:rPr>
              <w:t>Источники информации</w:t>
            </w:r>
          </w:p>
        </w:tc>
        <w:tc>
          <w:tcPr>
            <w:tcW w:w="850" w:type="dxa"/>
            <w:shd w:val="clear" w:color="auto" w:fill="D9D9D9"/>
            <w:vAlign w:val="center"/>
          </w:tcPr>
          <w:p w:rsidR="00BB0B11" w:rsidRPr="0057576B" w:rsidRDefault="00BB0B11" w:rsidP="00F17E43">
            <w:pPr>
              <w:jc w:val="center"/>
              <w:rPr>
                <w:b/>
              </w:rPr>
            </w:pPr>
            <w:r w:rsidRPr="0057576B">
              <w:rPr>
                <w:b/>
              </w:rPr>
              <w:t>Вес</w:t>
            </w:r>
          </w:p>
        </w:tc>
        <w:tc>
          <w:tcPr>
            <w:tcW w:w="992" w:type="dxa"/>
            <w:shd w:val="clear" w:color="auto" w:fill="D9D9D9"/>
            <w:vAlign w:val="center"/>
          </w:tcPr>
          <w:p w:rsidR="00BB0B11" w:rsidRPr="0057576B" w:rsidRDefault="00BB0B11" w:rsidP="00F17E43">
            <w:pPr>
              <w:jc w:val="center"/>
              <w:rPr>
                <w:b/>
              </w:rPr>
            </w:pPr>
            <w:r w:rsidRPr="0057576B">
              <w:rPr>
                <w:b/>
              </w:rPr>
              <w:t>ед. изм.</w:t>
            </w:r>
          </w:p>
        </w:tc>
      </w:tr>
      <w:tr w:rsidR="00BB0B11" w:rsidRPr="0057576B" w:rsidTr="00F17E43">
        <w:tc>
          <w:tcPr>
            <w:tcW w:w="335" w:type="dxa"/>
          </w:tcPr>
          <w:p w:rsidR="00BB0B11" w:rsidRPr="0057576B" w:rsidRDefault="00BB0B11" w:rsidP="00F17E43">
            <w:r w:rsidRPr="0057576B">
              <w:t>1</w:t>
            </w:r>
          </w:p>
        </w:tc>
        <w:tc>
          <w:tcPr>
            <w:tcW w:w="3209" w:type="dxa"/>
          </w:tcPr>
          <w:p w:rsidR="00BB0B11" w:rsidRPr="00F53098" w:rsidRDefault="00BB0B11" w:rsidP="00F17E43">
            <w:r w:rsidRPr="00F53098">
              <w:t>Степень диверсификации доходов института</w:t>
            </w:r>
          </w:p>
        </w:tc>
        <w:tc>
          <w:tcPr>
            <w:tcW w:w="5670" w:type="dxa"/>
          </w:tcPr>
          <w:p w:rsidR="00BB0B11" w:rsidRPr="00F53098" w:rsidRDefault="00A86C40" w:rsidP="00D92F7E">
            <w:r>
              <w:t>Абсолютное отклонение от 50% д</w:t>
            </w:r>
            <w:r w:rsidR="00BB0B11" w:rsidRPr="00F53098">
              <w:t>ол</w:t>
            </w:r>
            <w:r>
              <w:t>и</w:t>
            </w:r>
            <w:r w:rsidR="00BB0B11" w:rsidRPr="00F53098">
              <w:t xml:space="preserve"> несубсидируемых поступлений (доходов) в объеме совокупных поступлений (доходов) института от всех видов деятельности, полученных в отчетном периоде. </w:t>
            </w:r>
          </w:p>
          <w:p w:rsidR="00BB0B11" w:rsidRPr="00F53098" w:rsidRDefault="00BB0B11" w:rsidP="00D92F7E">
            <w:r w:rsidRPr="00F53098">
              <w:t>Несубсидированные поступления (доходы) рассчитываются как сумма:</w:t>
            </w:r>
          </w:p>
          <w:p w:rsidR="00BB0B11" w:rsidRPr="00F53098" w:rsidRDefault="00BB0B11" w:rsidP="00D92F7E">
            <w:pPr>
              <w:numPr>
                <w:ilvl w:val="0"/>
                <w:numId w:val="37"/>
              </w:numPr>
              <w:ind w:left="253" w:hanging="253"/>
            </w:pPr>
            <w:r w:rsidRPr="00F53098">
              <w:t xml:space="preserve">поступлений на лицевые счета институтов </w:t>
            </w:r>
            <w:r w:rsidR="00A86C40">
              <w:t>до</w:t>
            </w:r>
            <w:r w:rsidRPr="00F53098">
              <w:t xml:space="preserve"> вычет</w:t>
            </w:r>
            <w:r w:rsidR="00A86C40">
              <w:t>а</w:t>
            </w:r>
            <w:r w:rsidRPr="00F53098">
              <w:t xml:space="preserve"> отчислений института в фонд общеуниверситетских расходов (ФОР) университета.</w:t>
            </w:r>
          </w:p>
          <w:p w:rsidR="00BB0B11" w:rsidRPr="00F53098" w:rsidRDefault="00BB0B11" w:rsidP="00D92F7E">
            <w:pPr>
              <w:numPr>
                <w:ilvl w:val="0"/>
                <w:numId w:val="37"/>
              </w:numPr>
              <w:ind w:left="253" w:hanging="253"/>
            </w:pPr>
            <w:r w:rsidRPr="00F53098">
              <w:t xml:space="preserve">поступлений от научной деятельности, включая государственное финансирование по грантам и ФЦП, </w:t>
            </w:r>
            <w:r w:rsidR="00A86C40">
              <w:t>до</w:t>
            </w:r>
            <w:r w:rsidRPr="00F53098">
              <w:t xml:space="preserve"> вычет</w:t>
            </w:r>
            <w:r w:rsidR="00A86C40">
              <w:t>а</w:t>
            </w:r>
            <w:r w:rsidRPr="00F53098">
              <w:t xml:space="preserve"> централизованных отчислений на накладные расходы.</w:t>
            </w:r>
          </w:p>
          <w:p w:rsidR="00BB0B11" w:rsidRPr="00F53098" w:rsidRDefault="00BB0B11" w:rsidP="00D92F7E">
            <w:pPr>
              <w:numPr>
                <w:ilvl w:val="0"/>
                <w:numId w:val="37"/>
              </w:numPr>
              <w:ind w:left="253" w:hanging="253"/>
            </w:pPr>
            <w:r w:rsidRPr="00F53098">
              <w:t xml:space="preserve">поступлений от инновационной деятельности </w:t>
            </w:r>
            <w:r w:rsidR="00A86C40">
              <w:t>до</w:t>
            </w:r>
            <w:r w:rsidRPr="00F53098">
              <w:t xml:space="preserve"> вычет</w:t>
            </w:r>
            <w:r w:rsidR="00A86C40">
              <w:t>а</w:t>
            </w:r>
            <w:r w:rsidRPr="00F53098">
              <w:t xml:space="preserve"> централизованных отчислений на накладные расходы.</w:t>
            </w:r>
          </w:p>
          <w:p w:rsidR="00BB0B11" w:rsidRPr="00F53098" w:rsidRDefault="00BB0B11" w:rsidP="00D92F7E">
            <w:r w:rsidRPr="00F53098">
              <w:t>Совокупный объем поступлений (доходов) института рассчитывается как сумма всех поступлений (доходов) и субсидий, поступивших на лицевые счета института до вычета централизованных отчислений.</w:t>
            </w:r>
          </w:p>
        </w:tc>
        <w:tc>
          <w:tcPr>
            <w:tcW w:w="2552" w:type="dxa"/>
          </w:tcPr>
          <w:p w:rsidR="00BB0B11" w:rsidRPr="0057576B" w:rsidRDefault="00BB0B11" w:rsidP="00F17E43">
            <w:r w:rsidRPr="0057576B">
              <w:t>Показатель характеризует степень финансовой автономии института и его возможности для финансирования развития инфраструктуры и кадрового потенциала.</w:t>
            </w:r>
          </w:p>
        </w:tc>
        <w:tc>
          <w:tcPr>
            <w:tcW w:w="2126" w:type="dxa"/>
          </w:tcPr>
          <w:p w:rsidR="00BB0B11" w:rsidRPr="0057576B" w:rsidRDefault="00BB0B11" w:rsidP="00F17E43">
            <w:r w:rsidRPr="0057576B">
              <w:t>УБУиФК</w:t>
            </w:r>
          </w:p>
          <w:p w:rsidR="00BB0B11" w:rsidRPr="0057576B" w:rsidRDefault="00BB0B11" w:rsidP="00F17E43">
            <w:pPr>
              <w:ind w:left="317"/>
            </w:pPr>
          </w:p>
        </w:tc>
        <w:tc>
          <w:tcPr>
            <w:tcW w:w="850" w:type="dxa"/>
          </w:tcPr>
          <w:p w:rsidR="00BB0B11" w:rsidRPr="009C4CA5" w:rsidRDefault="009C4CA5" w:rsidP="00F17E43">
            <w:pPr>
              <w:jc w:val="center"/>
            </w:pPr>
            <w:r>
              <w:t>5</w:t>
            </w:r>
          </w:p>
        </w:tc>
        <w:tc>
          <w:tcPr>
            <w:tcW w:w="992"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2</w:t>
            </w:r>
          </w:p>
        </w:tc>
        <w:tc>
          <w:tcPr>
            <w:tcW w:w="3209" w:type="dxa"/>
          </w:tcPr>
          <w:p w:rsidR="00BB0B11" w:rsidRPr="0057576B" w:rsidRDefault="00BB0B11" w:rsidP="00F17E43">
            <w:r w:rsidRPr="0057576B">
              <w:t>Экономическая производительность профессорско-преподавательского состава института</w:t>
            </w:r>
          </w:p>
        </w:tc>
        <w:tc>
          <w:tcPr>
            <w:tcW w:w="5670" w:type="dxa"/>
          </w:tcPr>
          <w:p w:rsidR="00BB0B11" w:rsidRPr="0057576B" w:rsidRDefault="00BB0B11" w:rsidP="00F17E43">
            <w:r w:rsidRPr="0057576B">
              <w:t xml:space="preserve">Отношение совокупного объема поступлений (доходов) института за отчетный период к среднесписочной численности ППС института. </w:t>
            </w:r>
          </w:p>
        </w:tc>
        <w:tc>
          <w:tcPr>
            <w:tcW w:w="2552" w:type="dxa"/>
          </w:tcPr>
          <w:p w:rsidR="00BB0B11" w:rsidRPr="0057576B" w:rsidRDefault="00BB0B11" w:rsidP="00F17E43">
            <w:r w:rsidRPr="0057576B">
              <w:t>Показатель характеризует уровень эффективности образовательной, научно-исследовательской, инновационной и иной деятельности института.</w:t>
            </w:r>
          </w:p>
        </w:tc>
        <w:tc>
          <w:tcPr>
            <w:tcW w:w="2126" w:type="dxa"/>
          </w:tcPr>
          <w:p w:rsidR="00BB0B11" w:rsidRPr="0057576B" w:rsidRDefault="00BB0B11" w:rsidP="0060747C">
            <w:pPr>
              <w:numPr>
                <w:ilvl w:val="0"/>
                <w:numId w:val="38"/>
              </w:numPr>
              <w:ind w:left="317" w:hanging="283"/>
            </w:pPr>
            <w:r w:rsidRPr="0057576B">
              <w:t>УБУиФК</w:t>
            </w:r>
          </w:p>
          <w:p w:rsidR="00BB0B11" w:rsidRPr="0057576B" w:rsidRDefault="00BB0B11" w:rsidP="0060747C">
            <w:pPr>
              <w:numPr>
                <w:ilvl w:val="0"/>
                <w:numId w:val="38"/>
              </w:numPr>
              <w:ind w:left="317" w:hanging="283"/>
            </w:pPr>
            <w:r w:rsidRPr="0057576B">
              <w:t>НИЧ</w:t>
            </w:r>
          </w:p>
          <w:p w:rsidR="00BB0B11" w:rsidRPr="0057576B" w:rsidRDefault="00BB0B11" w:rsidP="0060747C">
            <w:pPr>
              <w:numPr>
                <w:ilvl w:val="0"/>
                <w:numId w:val="38"/>
              </w:numPr>
              <w:ind w:left="317" w:hanging="283"/>
            </w:pPr>
            <w:r w:rsidRPr="0057576B">
              <w:t>Заместитель проректора по инновационной деятельности</w:t>
            </w:r>
          </w:p>
          <w:p w:rsidR="00BB0B11" w:rsidRPr="0057576B" w:rsidRDefault="00BB0B11" w:rsidP="0060747C">
            <w:pPr>
              <w:numPr>
                <w:ilvl w:val="0"/>
                <w:numId w:val="38"/>
              </w:numPr>
              <w:ind w:left="317" w:hanging="283"/>
            </w:pPr>
            <w:r w:rsidRPr="0057576B">
              <w:t>ПФУ</w:t>
            </w:r>
          </w:p>
        </w:tc>
        <w:tc>
          <w:tcPr>
            <w:tcW w:w="850" w:type="dxa"/>
          </w:tcPr>
          <w:p w:rsidR="00BB0B11" w:rsidRPr="0057576B" w:rsidRDefault="009C4CA5" w:rsidP="00F17E43">
            <w:pPr>
              <w:jc w:val="center"/>
            </w:pPr>
            <w:r>
              <w:t>35</w:t>
            </w:r>
          </w:p>
        </w:tc>
        <w:tc>
          <w:tcPr>
            <w:tcW w:w="992" w:type="dxa"/>
          </w:tcPr>
          <w:p w:rsidR="00BB0B11" w:rsidRPr="0057576B" w:rsidRDefault="00BB0B11" w:rsidP="00F17E43">
            <w:r w:rsidRPr="0057576B">
              <w:t>тыс. руб./ ставка ППС</w:t>
            </w:r>
          </w:p>
        </w:tc>
      </w:tr>
      <w:tr w:rsidR="00BB0B11" w:rsidRPr="0057576B" w:rsidTr="00F17E43">
        <w:tc>
          <w:tcPr>
            <w:tcW w:w="335" w:type="dxa"/>
          </w:tcPr>
          <w:p w:rsidR="00BB0B11" w:rsidRPr="0057576B" w:rsidRDefault="00BB0B11" w:rsidP="00F17E43">
            <w:r w:rsidRPr="0057576B">
              <w:t>3</w:t>
            </w:r>
          </w:p>
        </w:tc>
        <w:tc>
          <w:tcPr>
            <w:tcW w:w="3209" w:type="dxa"/>
          </w:tcPr>
          <w:p w:rsidR="00BB0B11" w:rsidRPr="0057576B" w:rsidRDefault="00BB0B11" w:rsidP="00F17E43">
            <w:r w:rsidRPr="0057576B">
              <w:t>Среднемесячный уровень доходов профессорско-преподавательского состава института</w:t>
            </w:r>
          </w:p>
        </w:tc>
        <w:tc>
          <w:tcPr>
            <w:tcW w:w="5670" w:type="dxa"/>
          </w:tcPr>
          <w:p w:rsidR="00BB0B11" w:rsidRPr="0057576B" w:rsidRDefault="00BB0B11" w:rsidP="00F17E43">
            <w:pPr>
              <w:spacing w:after="120"/>
            </w:pPr>
            <w:r w:rsidRPr="0057576B">
              <w:t>Отношение среднемесячной величины совокупных выплат ППС института за отчетный период к среднесписочной численности ППС института.</w:t>
            </w:r>
          </w:p>
          <w:p w:rsidR="00BB0B11" w:rsidRPr="0057576B" w:rsidRDefault="00BB0B11" w:rsidP="00F17E43">
            <w:r w:rsidRPr="0057576B">
              <w:t>Совокупные выплаты ППС рассчитываются как сумма всех выплат ППС, осуществленных УБУиФК, включая заработную плату, надбавки, оплату работ по договорам подряда, дотации.</w:t>
            </w:r>
          </w:p>
        </w:tc>
        <w:tc>
          <w:tcPr>
            <w:tcW w:w="2552" w:type="dxa"/>
          </w:tcPr>
          <w:p w:rsidR="00BB0B11" w:rsidRPr="0057576B" w:rsidRDefault="00BB0B11" w:rsidP="00F17E43">
            <w:r w:rsidRPr="0057576B">
              <w:t>Показатель позволяет оценить ход реализации социальной задачи по обеспечению достойного уровня доходов ППС.</w:t>
            </w:r>
          </w:p>
          <w:p w:rsidR="00BB0B11" w:rsidRPr="0057576B" w:rsidRDefault="00BB0B11" w:rsidP="00F17E43">
            <w:r w:rsidRPr="0057576B">
              <w:t>Позволяет оценивать привлекательность института на рынке труда.</w:t>
            </w:r>
          </w:p>
        </w:tc>
        <w:tc>
          <w:tcPr>
            <w:tcW w:w="2126" w:type="dxa"/>
          </w:tcPr>
          <w:p w:rsidR="00BB0B11" w:rsidRPr="0057576B" w:rsidRDefault="00BB0B11" w:rsidP="00F17E43">
            <w:r w:rsidRPr="0057576B">
              <w:t>ПФУ</w:t>
            </w:r>
          </w:p>
        </w:tc>
        <w:tc>
          <w:tcPr>
            <w:tcW w:w="850" w:type="dxa"/>
          </w:tcPr>
          <w:p w:rsidR="00BB0B11" w:rsidRPr="0057576B" w:rsidRDefault="00BB0B11" w:rsidP="00F17E43">
            <w:pPr>
              <w:jc w:val="center"/>
            </w:pPr>
            <w:r w:rsidRPr="0057576B">
              <w:t>25</w:t>
            </w:r>
          </w:p>
        </w:tc>
        <w:tc>
          <w:tcPr>
            <w:tcW w:w="992" w:type="dxa"/>
          </w:tcPr>
          <w:p w:rsidR="00BB0B11" w:rsidRPr="0057576B" w:rsidRDefault="00BB0B11" w:rsidP="00F17E43">
            <w:r w:rsidRPr="0057576B">
              <w:t>тыс. руб./ ставка ППС</w:t>
            </w:r>
          </w:p>
        </w:tc>
      </w:tr>
      <w:tr w:rsidR="00BB0B11" w:rsidRPr="0057576B" w:rsidTr="00F17E43">
        <w:tc>
          <w:tcPr>
            <w:tcW w:w="335" w:type="dxa"/>
          </w:tcPr>
          <w:p w:rsidR="00BB0B11" w:rsidRPr="0057576B" w:rsidRDefault="00BB0B11" w:rsidP="00F17E43">
            <w:r w:rsidRPr="0057576B">
              <w:t>4</w:t>
            </w:r>
          </w:p>
        </w:tc>
        <w:tc>
          <w:tcPr>
            <w:tcW w:w="3209" w:type="dxa"/>
          </w:tcPr>
          <w:p w:rsidR="00BB0B11" w:rsidRPr="0057576B" w:rsidRDefault="00BB0B11" w:rsidP="00F17E43">
            <w:r w:rsidRPr="0057576B">
              <w:t>Уровень внутренних инвестиций в развитие</w:t>
            </w:r>
          </w:p>
        </w:tc>
        <w:tc>
          <w:tcPr>
            <w:tcW w:w="5670" w:type="dxa"/>
          </w:tcPr>
          <w:p w:rsidR="00BB0B11" w:rsidRPr="0057576B" w:rsidRDefault="00BB0B11" w:rsidP="00F17E43">
            <w:r w:rsidRPr="0057576B">
              <w:t>Отношение затрат института на развитие (по всем лицевым счетам в Институте), к совокупному объему поступлений (доходов) института в отчетном периоде.</w:t>
            </w:r>
          </w:p>
        </w:tc>
        <w:tc>
          <w:tcPr>
            <w:tcW w:w="2552" w:type="dxa"/>
          </w:tcPr>
          <w:p w:rsidR="00BB0B11" w:rsidRPr="0057576B" w:rsidRDefault="00BB0B11" w:rsidP="00F17E43">
            <w:r w:rsidRPr="0057576B">
              <w:t>Показатель измеряет уровень инвестиционной активности института по развитию и модернизации образовательной, научной и инновационной деятельности.</w:t>
            </w:r>
          </w:p>
        </w:tc>
        <w:tc>
          <w:tcPr>
            <w:tcW w:w="2126" w:type="dxa"/>
          </w:tcPr>
          <w:p w:rsidR="00BB0B11" w:rsidRPr="0057576B" w:rsidRDefault="00BB0B11" w:rsidP="00F17E43">
            <w:r w:rsidRPr="0057576B">
              <w:t>ПФУ</w:t>
            </w:r>
          </w:p>
        </w:tc>
        <w:tc>
          <w:tcPr>
            <w:tcW w:w="850" w:type="dxa"/>
          </w:tcPr>
          <w:p w:rsidR="00BB0B11" w:rsidRPr="0057576B" w:rsidRDefault="00BB0B11" w:rsidP="00F17E43">
            <w:pPr>
              <w:jc w:val="center"/>
            </w:pPr>
            <w:r w:rsidRPr="0057576B">
              <w:t>15</w:t>
            </w:r>
          </w:p>
        </w:tc>
        <w:tc>
          <w:tcPr>
            <w:tcW w:w="992"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5</w:t>
            </w:r>
          </w:p>
        </w:tc>
        <w:tc>
          <w:tcPr>
            <w:tcW w:w="3209" w:type="dxa"/>
          </w:tcPr>
          <w:p w:rsidR="00BB0B11" w:rsidRPr="0057576B" w:rsidRDefault="00BB0B11" w:rsidP="00F17E43">
            <w:r w:rsidRPr="0057576B">
              <w:t>Эффективность деятельности по привлечению внешних ресурсов</w:t>
            </w:r>
          </w:p>
        </w:tc>
        <w:tc>
          <w:tcPr>
            <w:tcW w:w="5670" w:type="dxa"/>
          </w:tcPr>
          <w:p w:rsidR="00BB0B11" w:rsidRPr="00F53098" w:rsidRDefault="00BB0B11" w:rsidP="00F17E43">
            <w:r w:rsidRPr="00F53098">
              <w:t>Отношение совокупного объема денежных и материальных средств, привлеченных институтом в отчетном периоде от внешних партнеров к средней за отчетный период численности ставок АУП института.</w:t>
            </w:r>
          </w:p>
          <w:p w:rsidR="00BB0B11" w:rsidRPr="00F53098" w:rsidRDefault="00BB0B11" w:rsidP="00F17E43">
            <w:pPr>
              <w:tabs>
                <w:tab w:val="left" w:pos="363"/>
              </w:tabs>
            </w:pPr>
            <w:r w:rsidRPr="00F53098">
              <w:t>Учитываются следующие формы поступлений от внешних партнеров (доноров, спонсоров и частных лиц):</w:t>
            </w:r>
          </w:p>
          <w:p w:rsidR="00BB0B11" w:rsidRPr="00F53098" w:rsidRDefault="00BB0B11" w:rsidP="0060747C">
            <w:pPr>
              <w:numPr>
                <w:ilvl w:val="0"/>
                <w:numId w:val="40"/>
              </w:numPr>
              <w:tabs>
                <w:tab w:val="left" w:pos="363"/>
              </w:tabs>
              <w:ind w:left="0" w:firstLine="0"/>
            </w:pPr>
            <w:r w:rsidRPr="00F53098">
              <w:t>безвозмездные взносы в фонд развития института в денежном или материальном виде;</w:t>
            </w:r>
          </w:p>
          <w:p w:rsidR="00BB0B11" w:rsidRPr="00F53098" w:rsidRDefault="00BB0B11" w:rsidP="0060747C">
            <w:pPr>
              <w:numPr>
                <w:ilvl w:val="0"/>
                <w:numId w:val="40"/>
              </w:numPr>
              <w:tabs>
                <w:tab w:val="left" w:pos="363"/>
              </w:tabs>
              <w:ind w:left="0" w:firstLine="0"/>
            </w:pPr>
            <w:r w:rsidRPr="00F53098">
              <w:t>спонсорская помощь институту;</w:t>
            </w:r>
          </w:p>
          <w:p w:rsidR="00BB0B11" w:rsidRPr="00F53098" w:rsidRDefault="00BB0B11" w:rsidP="0060747C">
            <w:pPr>
              <w:numPr>
                <w:ilvl w:val="0"/>
                <w:numId w:val="40"/>
              </w:numPr>
              <w:tabs>
                <w:tab w:val="left" w:pos="363"/>
              </w:tabs>
              <w:ind w:left="0" w:firstLine="0"/>
            </w:pPr>
            <w:r w:rsidRPr="00F53098">
              <w:t>взносы в Фонд целевого капитала;</w:t>
            </w:r>
          </w:p>
          <w:p w:rsidR="00BB0B11" w:rsidRPr="00F53098" w:rsidRDefault="00BB0B11" w:rsidP="0060747C">
            <w:pPr>
              <w:numPr>
                <w:ilvl w:val="0"/>
                <w:numId w:val="40"/>
              </w:numPr>
              <w:tabs>
                <w:tab w:val="left" w:pos="363"/>
              </w:tabs>
              <w:ind w:left="0" w:firstLine="0"/>
            </w:pPr>
            <w:r w:rsidRPr="00F53098">
              <w:t>взносы в Фонд содействия развитию УГТУ-УПИ.</w:t>
            </w:r>
          </w:p>
          <w:p w:rsidR="00BB0B11" w:rsidRPr="00F53098" w:rsidRDefault="00BB0B11" w:rsidP="00F17E43">
            <w:pPr>
              <w:tabs>
                <w:tab w:val="left" w:pos="363"/>
              </w:tabs>
            </w:pPr>
            <w:r w:rsidRPr="00F53098">
              <w:t xml:space="preserve">При расчете учитываются только денежные средства, поступившие на счета института (университета), соответствующих фондов, а также переданные на баланс института (университета) материальные средства. </w:t>
            </w:r>
            <w:r w:rsidR="009C4CA5">
              <w:t>П</w:t>
            </w:r>
            <w:r w:rsidR="009C4CA5" w:rsidRPr="00F53098">
              <w:t>ереданные на баланс института (университета) материальные средства</w:t>
            </w:r>
            <w:r w:rsidR="009C4CA5">
              <w:t xml:space="preserve"> учитываются с понижающим коэффициентом 0,5.</w:t>
            </w:r>
          </w:p>
          <w:p w:rsidR="00BB0B11" w:rsidRPr="00F53098" w:rsidRDefault="00BB0B11" w:rsidP="00F17E43">
            <w:pPr>
              <w:tabs>
                <w:tab w:val="left" w:pos="363"/>
              </w:tabs>
            </w:pPr>
            <w:r w:rsidRPr="00F53098">
              <w:t xml:space="preserve">Численность ставок АУП института рассчитывается, как среднесписочная численность ставок АУП, по ставкам не ниже начальника отдела. </w:t>
            </w:r>
          </w:p>
        </w:tc>
        <w:tc>
          <w:tcPr>
            <w:tcW w:w="2552" w:type="dxa"/>
          </w:tcPr>
          <w:p w:rsidR="00BB0B11" w:rsidRPr="00F53098" w:rsidRDefault="00BB0B11" w:rsidP="00F17E43">
            <w:r w:rsidRPr="00F53098">
              <w:t>Показатель характеризует эффективность механизмов привлечения финансовых и материальных ресурсов внешних спонсоров и частных лиц в качестве инструмента развития института.</w:t>
            </w:r>
          </w:p>
        </w:tc>
        <w:tc>
          <w:tcPr>
            <w:tcW w:w="2126" w:type="dxa"/>
          </w:tcPr>
          <w:p w:rsidR="00BB0B11" w:rsidRPr="0057576B" w:rsidRDefault="00BB0B11" w:rsidP="0060747C">
            <w:pPr>
              <w:numPr>
                <w:ilvl w:val="0"/>
                <w:numId w:val="39"/>
              </w:numPr>
              <w:ind w:left="317" w:hanging="283"/>
            </w:pPr>
            <w:r w:rsidRPr="0057576B">
              <w:t xml:space="preserve">УБУиФК </w:t>
            </w:r>
          </w:p>
          <w:p w:rsidR="00BB0B11" w:rsidRPr="0057576B" w:rsidRDefault="00BB0B11" w:rsidP="0060747C">
            <w:pPr>
              <w:numPr>
                <w:ilvl w:val="0"/>
                <w:numId w:val="39"/>
              </w:numPr>
              <w:ind w:left="317" w:hanging="283"/>
            </w:pPr>
            <w:r w:rsidRPr="0057576B">
              <w:t>Фонд целевого капитала</w:t>
            </w:r>
          </w:p>
          <w:p w:rsidR="00BB0B11" w:rsidRPr="0057576B" w:rsidRDefault="00BB0B11" w:rsidP="0060747C">
            <w:pPr>
              <w:numPr>
                <w:ilvl w:val="0"/>
                <w:numId w:val="39"/>
              </w:numPr>
              <w:ind w:left="317" w:hanging="283"/>
            </w:pPr>
            <w:r w:rsidRPr="0057576B">
              <w:t>Фонд содействия развитию УГТУ-УПИ</w:t>
            </w:r>
          </w:p>
          <w:p w:rsidR="00BB0B11" w:rsidRPr="0057576B" w:rsidRDefault="00BB0B11" w:rsidP="0060747C">
            <w:pPr>
              <w:numPr>
                <w:ilvl w:val="0"/>
                <w:numId w:val="39"/>
              </w:numPr>
              <w:ind w:left="317" w:hanging="283"/>
            </w:pPr>
            <w:r w:rsidRPr="0057576B">
              <w:t>ПФУ – среднегодовое количество ставок АУП.</w:t>
            </w:r>
          </w:p>
        </w:tc>
        <w:tc>
          <w:tcPr>
            <w:tcW w:w="850" w:type="dxa"/>
          </w:tcPr>
          <w:p w:rsidR="00BB0B11" w:rsidRPr="0057576B" w:rsidRDefault="00BB0B11" w:rsidP="00F17E43">
            <w:pPr>
              <w:jc w:val="center"/>
            </w:pPr>
            <w:r w:rsidRPr="0057576B">
              <w:t>20</w:t>
            </w:r>
          </w:p>
        </w:tc>
        <w:tc>
          <w:tcPr>
            <w:tcW w:w="992" w:type="dxa"/>
          </w:tcPr>
          <w:p w:rsidR="00BB0B11" w:rsidRPr="0057576B" w:rsidRDefault="00BB0B11" w:rsidP="00F17E43">
            <w:r w:rsidRPr="0057576B">
              <w:t>тыс. руб./ставка АУП</w:t>
            </w:r>
          </w:p>
        </w:tc>
      </w:tr>
    </w:tbl>
    <w:p w:rsidR="00BB0B11" w:rsidRPr="0057576B" w:rsidRDefault="00BB0B11" w:rsidP="00F17E43">
      <w:pPr>
        <w:rPr>
          <w:b/>
          <w:u w:val="single"/>
        </w:rPr>
      </w:pPr>
    </w:p>
    <w:p w:rsidR="00BB0B11" w:rsidRPr="0057576B" w:rsidRDefault="00BB0B11" w:rsidP="00F17E43">
      <w:pPr>
        <w:rPr>
          <w:b/>
          <w:u w:val="single"/>
        </w:rPr>
      </w:pPr>
      <w:r w:rsidRPr="0057576B">
        <w:rPr>
          <w:b/>
          <w:u w:val="single"/>
        </w:rPr>
        <w:t>7. Взаимодействие с регионом (как часть реализации социальной роли федерального университета)</w:t>
      </w:r>
    </w:p>
    <w:p w:rsidR="00BB0B11" w:rsidRPr="0057576B" w:rsidRDefault="00BB0B11" w:rsidP="00F17E43"/>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3209"/>
        <w:gridCol w:w="5670"/>
        <w:gridCol w:w="2551"/>
        <w:gridCol w:w="2127"/>
        <w:gridCol w:w="850"/>
        <w:gridCol w:w="992"/>
      </w:tblGrid>
      <w:tr w:rsidR="00BB0B11" w:rsidRPr="0057576B" w:rsidTr="00F17E43">
        <w:trPr>
          <w:tblHeader/>
        </w:trPr>
        <w:tc>
          <w:tcPr>
            <w:tcW w:w="335" w:type="dxa"/>
            <w:shd w:val="clear" w:color="auto" w:fill="D9D9D9"/>
            <w:vAlign w:val="center"/>
          </w:tcPr>
          <w:p w:rsidR="00BB0B11" w:rsidRPr="0057576B" w:rsidRDefault="00BB0B11" w:rsidP="00F17E43">
            <w:pPr>
              <w:jc w:val="center"/>
              <w:rPr>
                <w:b/>
              </w:rPr>
            </w:pPr>
          </w:p>
        </w:tc>
        <w:tc>
          <w:tcPr>
            <w:tcW w:w="3209" w:type="dxa"/>
            <w:shd w:val="clear" w:color="auto" w:fill="D9D9D9"/>
            <w:vAlign w:val="center"/>
          </w:tcPr>
          <w:p w:rsidR="00BB0B11" w:rsidRPr="0057576B" w:rsidRDefault="00BB0B11" w:rsidP="00F17E43">
            <w:pPr>
              <w:jc w:val="center"/>
              <w:rPr>
                <w:b/>
              </w:rPr>
            </w:pPr>
            <w:r w:rsidRPr="0057576B">
              <w:rPr>
                <w:b/>
              </w:rPr>
              <w:t>Показатель</w:t>
            </w:r>
          </w:p>
        </w:tc>
        <w:tc>
          <w:tcPr>
            <w:tcW w:w="5670" w:type="dxa"/>
            <w:shd w:val="clear" w:color="auto" w:fill="D9D9D9"/>
            <w:vAlign w:val="center"/>
          </w:tcPr>
          <w:p w:rsidR="00BB0B11" w:rsidRPr="0057576B" w:rsidRDefault="00BB0B11" w:rsidP="00F17E43">
            <w:pPr>
              <w:jc w:val="center"/>
              <w:rPr>
                <w:b/>
              </w:rPr>
            </w:pPr>
            <w:r w:rsidRPr="0057576B">
              <w:rPr>
                <w:b/>
              </w:rPr>
              <w:t xml:space="preserve">Учитываемые элементы, </w:t>
            </w:r>
          </w:p>
          <w:p w:rsidR="00BB0B11" w:rsidRPr="0057576B" w:rsidRDefault="00BB0B11" w:rsidP="00F17E43">
            <w:pPr>
              <w:jc w:val="center"/>
              <w:rPr>
                <w:b/>
              </w:rPr>
            </w:pPr>
            <w:r w:rsidRPr="0057576B">
              <w:rPr>
                <w:b/>
              </w:rPr>
              <w:t>способ расчета</w:t>
            </w:r>
          </w:p>
        </w:tc>
        <w:tc>
          <w:tcPr>
            <w:tcW w:w="2551" w:type="dxa"/>
            <w:shd w:val="clear" w:color="auto" w:fill="D9D9D9"/>
            <w:vAlign w:val="center"/>
          </w:tcPr>
          <w:p w:rsidR="00BB0B11" w:rsidRPr="0057576B" w:rsidRDefault="00BB0B11" w:rsidP="00F17E43">
            <w:pPr>
              <w:jc w:val="center"/>
              <w:rPr>
                <w:b/>
              </w:rPr>
            </w:pPr>
            <w:r w:rsidRPr="0057576B">
              <w:rPr>
                <w:b/>
              </w:rPr>
              <w:t xml:space="preserve">Обоснование, </w:t>
            </w:r>
          </w:p>
          <w:p w:rsidR="00BB0B11" w:rsidRPr="0057576B" w:rsidRDefault="00BB0B11" w:rsidP="00F17E43">
            <w:pPr>
              <w:jc w:val="center"/>
              <w:rPr>
                <w:b/>
              </w:rPr>
            </w:pPr>
            <w:r w:rsidRPr="0057576B">
              <w:rPr>
                <w:b/>
              </w:rPr>
              <w:t>как влияет на развитие</w:t>
            </w:r>
          </w:p>
        </w:tc>
        <w:tc>
          <w:tcPr>
            <w:tcW w:w="2127" w:type="dxa"/>
            <w:shd w:val="clear" w:color="auto" w:fill="D9D9D9"/>
            <w:vAlign w:val="center"/>
          </w:tcPr>
          <w:p w:rsidR="00BB0B11" w:rsidRPr="0057576B" w:rsidRDefault="00BB0B11" w:rsidP="00F17E43">
            <w:pPr>
              <w:jc w:val="center"/>
              <w:rPr>
                <w:b/>
              </w:rPr>
            </w:pPr>
            <w:r w:rsidRPr="0057576B">
              <w:rPr>
                <w:b/>
              </w:rPr>
              <w:t>Источники информации</w:t>
            </w:r>
          </w:p>
        </w:tc>
        <w:tc>
          <w:tcPr>
            <w:tcW w:w="850" w:type="dxa"/>
            <w:shd w:val="clear" w:color="auto" w:fill="D9D9D9"/>
            <w:vAlign w:val="center"/>
          </w:tcPr>
          <w:p w:rsidR="00BB0B11" w:rsidRPr="0057576B" w:rsidRDefault="00BB0B11" w:rsidP="00F17E43">
            <w:pPr>
              <w:jc w:val="center"/>
              <w:rPr>
                <w:b/>
              </w:rPr>
            </w:pPr>
            <w:r w:rsidRPr="0057576B">
              <w:rPr>
                <w:b/>
              </w:rPr>
              <w:t>Вес</w:t>
            </w:r>
          </w:p>
        </w:tc>
        <w:tc>
          <w:tcPr>
            <w:tcW w:w="992" w:type="dxa"/>
            <w:shd w:val="clear" w:color="auto" w:fill="D9D9D9"/>
            <w:vAlign w:val="center"/>
          </w:tcPr>
          <w:p w:rsidR="00BB0B11" w:rsidRPr="0057576B" w:rsidRDefault="00BB0B11" w:rsidP="00F17E43">
            <w:pPr>
              <w:jc w:val="center"/>
              <w:rPr>
                <w:b/>
              </w:rPr>
            </w:pPr>
            <w:r w:rsidRPr="0057576B">
              <w:rPr>
                <w:b/>
              </w:rPr>
              <w:t>ед. изм.</w:t>
            </w:r>
          </w:p>
        </w:tc>
      </w:tr>
      <w:tr w:rsidR="00BB0B11" w:rsidRPr="0057576B" w:rsidTr="00F17E43">
        <w:tc>
          <w:tcPr>
            <w:tcW w:w="335" w:type="dxa"/>
          </w:tcPr>
          <w:p w:rsidR="00BB0B11" w:rsidRPr="0057576B" w:rsidRDefault="00BB0B11" w:rsidP="00F17E43">
            <w:r w:rsidRPr="0057576B">
              <w:t>1</w:t>
            </w:r>
          </w:p>
        </w:tc>
        <w:tc>
          <w:tcPr>
            <w:tcW w:w="3209" w:type="dxa"/>
          </w:tcPr>
          <w:p w:rsidR="00BB0B11" w:rsidRPr="0057576B" w:rsidRDefault="00BB0B11" w:rsidP="00F17E43">
            <w:r w:rsidRPr="00F236BE">
              <w:t>Отношение доли поступивших в институт абитуриентов не из Свердловской области, набравших высокие баллы ЕГЭ, к общему числу абитуриентов</w:t>
            </w:r>
          </w:p>
        </w:tc>
        <w:tc>
          <w:tcPr>
            <w:tcW w:w="5670" w:type="dxa"/>
          </w:tcPr>
          <w:p w:rsidR="00BB0B11" w:rsidRPr="00F53098" w:rsidRDefault="00BB0B11" w:rsidP="00F17E43">
            <w:r w:rsidRPr="00F53098">
              <w:t>Учитываются только очн</w:t>
            </w:r>
            <w:r w:rsidR="009834E5">
              <w:t>ые студенты</w:t>
            </w:r>
            <w:r w:rsidRPr="00F53098">
              <w:t xml:space="preserve"> всех форм возмещения затрат, поступившие не из Свердловской области.</w:t>
            </w:r>
          </w:p>
          <w:p w:rsidR="00BB0B11" w:rsidRPr="00F53098" w:rsidRDefault="00BB0B11" w:rsidP="00F17E43">
            <w:r w:rsidRPr="00F53098">
              <w:t>В числителе учитывается только число абитуриентов набравших балл, достаточный для выигрыша в конкурсе на высокий проходной балл (высокий проходной балл определяется на основании приказа о конкурсе за год расчета).</w:t>
            </w:r>
          </w:p>
        </w:tc>
        <w:tc>
          <w:tcPr>
            <w:tcW w:w="2551" w:type="dxa"/>
          </w:tcPr>
          <w:p w:rsidR="00BB0B11" w:rsidRPr="0057576B" w:rsidRDefault="00BB0B11" w:rsidP="00F17E43">
            <w:r w:rsidRPr="0057576B">
              <w:t>Привлечение качественных абитуриентов не из Свердловской области</w:t>
            </w:r>
          </w:p>
        </w:tc>
        <w:tc>
          <w:tcPr>
            <w:tcW w:w="2127" w:type="dxa"/>
          </w:tcPr>
          <w:p w:rsidR="00BB0B11" w:rsidRPr="0057576B" w:rsidRDefault="00BB0B11" w:rsidP="00F17E43">
            <w:r w:rsidRPr="0057576B">
              <w:t>Центр нового приема</w:t>
            </w:r>
          </w:p>
        </w:tc>
        <w:tc>
          <w:tcPr>
            <w:tcW w:w="850" w:type="dxa"/>
          </w:tcPr>
          <w:p w:rsidR="00BB0B11" w:rsidRPr="0057576B" w:rsidRDefault="00BB0B11" w:rsidP="00F17E43">
            <w:pPr>
              <w:jc w:val="center"/>
              <w:rPr>
                <w:iCs/>
              </w:rPr>
            </w:pPr>
            <w:r w:rsidRPr="0057576B">
              <w:rPr>
                <w:iCs/>
              </w:rPr>
              <w:t>20</w:t>
            </w:r>
          </w:p>
        </w:tc>
        <w:tc>
          <w:tcPr>
            <w:tcW w:w="992" w:type="dxa"/>
          </w:tcPr>
          <w:p w:rsidR="00BB0B11" w:rsidRPr="0057576B" w:rsidRDefault="00BB0B11" w:rsidP="00F17E43">
            <w:r w:rsidRPr="0057576B">
              <w:t>%</w:t>
            </w:r>
          </w:p>
        </w:tc>
      </w:tr>
      <w:tr w:rsidR="00BB0B11" w:rsidRPr="0057576B" w:rsidTr="00F17E43">
        <w:tc>
          <w:tcPr>
            <w:tcW w:w="335" w:type="dxa"/>
          </w:tcPr>
          <w:p w:rsidR="00BB0B11" w:rsidRPr="0057576B" w:rsidRDefault="00BB0B11" w:rsidP="00F17E43">
            <w:r w:rsidRPr="0057576B">
              <w:t>2</w:t>
            </w:r>
          </w:p>
        </w:tc>
        <w:tc>
          <w:tcPr>
            <w:tcW w:w="3209" w:type="dxa"/>
          </w:tcPr>
          <w:p w:rsidR="00BB0B11" w:rsidRPr="0057576B" w:rsidRDefault="00BB0B11" w:rsidP="00F17E43">
            <w:r w:rsidRPr="00F236BE">
              <w:t xml:space="preserve">Число обученных по программам ДПО, внешних по отношению к УрФУ, за календарный год </w:t>
            </w:r>
          </w:p>
        </w:tc>
        <w:tc>
          <w:tcPr>
            <w:tcW w:w="5670" w:type="dxa"/>
          </w:tcPr>
          <w:p w:rsidR="00BB0B11" w:rsidRDefault="00BB0B11" w:rsidP="00F17E43">
            <w:r w:rsidRPr="0057576B">
              <w:t>Учитывается приведенное число людей (к 72 часам повышения квалификации),  внешних по отношению к УрФУ, прошедших обучение по программам дополнительного профессионального образования, профессиональной подготовки, на курсах целевого назначения. При условии выдачи документа, о полученном образовании, подтвержденном приказом по университету.</w:t>
            </w:r>
          </w:p>
          <w:p w:rsidR="00BB0B11" w:rsidRPr="0057576B" w:rsidRDefault="00BB0B11" w:rsidP="00F17E43">
            <w:r>
              <w:t>П</w:t>
            </w:r>
            <w:r w:rsidRPr="0057576B">
              <w:t>рограмм</w:t>
            </w:r>
            <w:r>
              <w:t>ы</w:t>
            </w:r>
            <w:r w:rsidRPr="0057576B">
              <w:t xml:space="preserve"> MBA и президентски</w:t>
            </w:r>
            <w:r>
              <w:t>е</w:t>
            </w:r>
            <w:r w:rsidRPr="0057576B">
              <w:t xml:space="preserve"> программ</w:t>
            </w:r>
            <w:r>
              <w:t>ы не исключаются из расчета.</w:t>
            </w:r>
          </w:p>
        </w:tc>
        <w:tc>
          <w:tcPr>
            <w:tcW w:w="2551" w:type="dxa"/>
          </w:tcPr>
          <w:p w:rsidR="00BB0B11" w:rsidRPr="0057576B" w:rsidRDefault="00BB0B11" w:rsidP="00F17E43">
            <w:r w:rsidRPr="0057576B">
              <w:t xml:space="preserve">Степень влияния на </w:t>
            </w:r>
            <w:r>
              <w:t>работающих специалистов в регионе</w:t>
            </w:r>
            <w:r w:rsidRPr="0057576B">
              <w:t xml:space="preserve">. </w:t>
            </w:r>
          </w:p>
        </w:tc>
        <w:tc>
          <w:tcPr>
            <w:tcW w:w="2127" w:type="dxa"/>
          </w:tcPr>
          <w:p w:rsidR="00BB0B11" w:rsidRPr="0057576B" w:rsidRDefault="00BB0B11" w:rsidP="00F17E43">
            <w:r w:rsidRPr="0057576B">
              <w:t>Отдел ДПО</w:t>
            </w:r>
          </w:p>
        </w:tc>
        <w:tc>
          <w:tcPr>
            <w:tcW w:w="850" w:type="dxa"/>
          </w:tcPr>
          <w:p w:rsidR="00BB0B11" w:rsidRPr="0057576B" w:rsidRDefault="00BB0B11" w:rsidP="00F17E43">
            <w:pPr>
              <w:jc w:val="center"/>
              <w:rPr>
                <w:iCs/>
              </w:rPr>
            </w:pPr>
            <w:r w:rsidRPr="0057576B">
              <w:rPr>
                <w:iCs/>
              </w:rPr>
              <w:t>20</w:t>
            </w:r>
          </w:p>
        </w:tc>
        <w:tc>
          <w:tcPr>
            <w:tcW w:w="992" w:type="dxa"/>
          </w:tcPr>
          <w:p w:rsidR="00BB0B11" w:rsidRPr="0057576B" w:rsidRDefault="00BB0B11" w:rsidP="00F17E43">
            <w:r w:rsidRPr="0057576B">
              <w:t>человек</w:t>
            </w:r>
          </w:p>
        </w:tc>
      </w:tr>
      <w:tr w:rsidR="00BB0B11" w:rsidRPr="0057576B" w:rsidTr="00F17E43">
        <w:tc>
          <w:tcPr>
            <w:tcW w:w="335" w:type="dxa"/>
          </w:tcPr>
          <w:p w:rsidR="00BB0B11" w:rsidRPr="0057576B" w:rsidRDefault="00BB0B11" w:rsidP="00F17E43">
            <w:r w:rsidRPr="0057576B">
              <w:t>3</w:t>
            </w:r>
          </w:p>
        </w:tc>
        <w:tc>
          <w:tcPr>
            <w:tcW w:w="3209" w:type="dxa"/>
          </w:tcPr>
          <w:p w:rsidR="00BB0B11" w:rsidRPr="00F53098" w:rsidRDefault="00BB0B11" w:rsidP="00F17E43">
            <w:r w:rsidRPr="00F53098">
              <w:t>Количество сотрудников УрФУ, входящих в комиссии, рабочие группы, советы, созданные при региональных, муниципальных и федеральных органах власти, Российские и региональные организации и отраслевые союзы</w:t>
            </w:r>
          </w:p>
          <w:p w:rsidR="00BB0B11" w:rsidRPr="00F53098" w:rsidRDefault="00BB0B11" w:rsidP="00F17E43"/>
        </w:tc>
        <w:tc>
          <w:tcPr>
            <w:tcW w:w="5670" w:type="dxa"/>
          </w:tcPr>
          <w:p w:rsidR="00BB0B11" w:rsidRPr="00F53098" w:rsidRDefault="00BB0B11" w:rsidP="00F17E43">
            <w:r w:rsidRPr="00F53098">
              <w:t>Подтверждающий документ о создании и вхождении в совет.</w:t>
            </w:r>
          </w:p>
          <w:p w:rsidR="00BB0B11" w:rsidRPr="00F53098" w:rsidRDefault="00BB0B11" w:rsidP="00F17E43">
            <w:r w:rsidRPr="00F53098">
              <w:t>При спорных случаях решение принимает Комиссия по рейтингу на основании экспертизы ЦМНиО и представления Института.</w:t>
            </w:r>
          </w:p>
          <w:p w:rsidR="00BB0B11" w:rsidRPr="00F53098" w:rsidRDefault="00BB0B11" w:rsidP="00F17E43">
            <w:r w:rsidRPr="00F53098">
              <w:t>Не допускается многократный учет одного того же человека.</w:t>
            </w:r>
          </w:p>
          <w:p w:rsidR="00BB0B11" w:rsidRPr="00F53098" w:rsidRDefault="00BB0B11" w:rsidP="00F17E43">
            <w:r w:rsidRPr="00F53098">
              <w:t>Члены комиссий, рабочих групп и советов должны быть сотрудниками УрФУ. Члены комиссий, рабочих групп и советов входят в расчет, только в случае, если они представляют УрФУ, участие от других организаций не учитывается.</w:t>
            </w:r>
          </w:p>
        </w:tc>
        <w:tc>
          <w:tcPr>
            <w:tcW w:w="2551" w:type="dxa"/>
          </w:tcPr>
          <w:p w:rsidR="00BB0B11" w:rsidRPr="0057576B" w:rsidRDefault="00BB0B11" w:rsidP="00F17E43">
            <w:r w:rsidRPr="0057576B">
              <w:t>Степень влияния на</w:t>
            </w:r>
            <w:r>
              <w:t xml:space="preserve"> выработку экспертных решений.</w:t>
            </w:r>
          </w:p>
        </w:tc>
        <w:tc>
          <w:tcPr>
            <w:tcW w:w="2127" w:type="dxa"/>
          </w:tcPr>
          <w:p w:rsidR="00BB0B11" w:rsidRPr="0057576B" w:rsidRDefault="00BB0B11" w:rsidP="00F17E43">
            <w:r w:rsidRPr="0057576B">
              <w:t>Институты</w:t>
            </w:r>
          </w:p>
          <w:p w:rsidR="00BB0B11" w:rsidRPr="0057576B" w:rsidRDefault="00BB0B11" w:rsidP="00F17E43"/>
        </w:tc>
        <w:tc>
          <w:tcPr>
            <w:tcW w:w="850" w:type="dxa"/>
          </w:tcPr>
          <w:p w:rsidR="00BB0B11" w:rsidRPr="0057576B" w:rsidRDefault="00BB0B11" w:rsidP="00F17E43">
            <w:pPr>
              <w:jc w:val="center"/>
              <w:rPr>
                <w:iCs/>
              </w:rPr>
            </w:pPr>
            <w:r w:rsidRPr="0057576B">
              <w:rPr>
                <w:iCs/>
              </w:rPr>
              <w:t>20</w:t>
            </w:r>
          </w:p>
        </w:tc>
        <w:tc>
          <w:tcPr>
            <w:tcW w:w="992" w:type="dxa"/>
          </w:tcPr>
          <w:p w:rsidR="00BB0B11" w:rsidRPr="0057576B" w:rsidRDefault="00BB0B11" w:rsidP="00F17E43">
            <w:r w:rsidRPr="0057576B">
              <w:t>человек</w:t>
            </w:r>
          </w:p>
        </w:tc>
      </w:tr>
      <w:tr w:rsidR="00BB0B11" w:rsidRPr="0057576B" w:rsidTr="00F17E43">
        <w:tc>
          <w:tcPr>
            <w:tcW w:w="335" w:type="dxa"/>
          </w:tcPr>
          <w:p w:rsidR="00BB0B11" w:rsidRPr="0057576B" w:rsidRDefault="00BB0B11" w:rsidP="00F17E43">
            <w:r w:rsidRPr="0057576B">
              <w:t>4</w:t>
            </w:r>
          </w:p>
        </w:tc>
        <w:tc>
          <w:tcPr>
            <w:tcW w:w="3209" w:type="dxa"/>
          </w:tcPr>
          <w:p w:rsidR="00BB0B11" w:rsidRPr="00F53098" w:rsidRDefault="00BB0B11" w:rsidP="00F17E43">
            <w:r w:rsidRPr="00F53098">
              <w:t>Проведенные УрФУ конференции, турниры, олимпиады, конкурсы, фестивали, спортивные мероприятия регионального, российского и  международного уровня</w:t>
            </w:r>
          </w:p>
        </w:tc>
        <w:tc>
          <w:tcPr>
            <w:tcW w:w="5670" w:type="dxa"/>
          </w:tcPr>
          <w:p w:rsidR="00BB0B11" w:rsidRPr="00F53098" w:rsidRDefault="00BB0B11" w:rsidP="00F17E43">
            <w:pPr>
              <w:rPr>
                <w:iCs/>
              </w:rPr>
            </w:pPr>
            <w:r w:rsidRPr="00F53098">
              <w:t>Проведение под эгидой УрФУ проверяется наличием приказа по университету.</w:t>
            </w:r>
          </w:p>
          <w:p w:rsidR="00BB0B11" w:rsidRPr="00F53098" w:rsidRDefault="00BB0B11" w:rsidP="00F17E43">
            <w:pPr>
              <w:rPr>
                <w:iCs/>
                <w:strike/>
              </w:rPr>
            </w:pPr>
            <w:r w:rsidRPr="00F53098">
              <w:t>При спорных случаях решение принимает Комиссия по рейтингу на основании экспертизы ЦМНиО и представления Института.</w:t>
            </w:r>
          </w:p>
        </w:tc>
        <w:tc>
          <w:tcPr>
            <w:tcW w:w="2551" w:type="dxa"/>
          </w:tcPr>
          <w:p w:rsidR="00BB0B11" w:rsidRPr="0057576B" w:rsidRDefault="00BB0B11" w:rsidP="00F17E43"/>
        </w:tc>
        <w:tc>
          <w:tcPr>
            <w:tcW w:w="2127" w:type="dxa"/>
          </w:tcPr>
          <w:p w:rsidR="00BB0B11" w:rsidRPr="0057576B" w:rsidRDefault="00BB0B11" w:rsidP="00F17E43">
            <w:r w:rsidRPr="0057576B">
              <w:t>Институты</w:t>
            </w:r>
          </w:p>
          <w:p w:rsidR="00BB0B11" w:rsidRPr="0057576B" w:rsidRDefault="00BB0B11" w:rsidP="00F17E43"/>
        </w:tc>
        <w:tc>
          <w:tcPr>
            <w:tcW w:w="850" w:type="dxa"/>
          </w:tcPr>
          <w:p w:rsidR="00BB0B11" w:rsidRPr="0057576B" w:rsidRDefault="00BB0B11" w:rsidP="00F17E43">
            <w:pPr>
              <w:jc w:val="center"/>
              <w:rPr>
                <w:iCs/>
              </w:rPr>
            </w:pPr>
            <w:r w:rsidRPr="0057576B">
              <w:rPr>
                <w:iCs/>
              </w:rPr>
              <w:t>20</w:t>
            </w:r>
          </w:p>
        </w:tc>
        <w:tc>
          <w:tcPr>
            <w:tcW w:w="992" w:type="dxa"/>
          </w:tcPr>
          <w:p w:rsidR="00BB0B11" w:rsidRPr="0057576B" w:rsidRDefault="00BB0B11" w:rsidP="00F17E43">
            <w:r w:rsidRPr="0057576B">
              <w:t>единиц</w:t>
            </w:r>
          </w:p>
        </w:tc>
      </w:tr>
      <w:tr w:rsidR="00BB0B11" w:rsidRPr="0057576B" w:rsidTr="00F17E43">
        <w:tc>
          <w:tcPr>
            <w:tcW w:w="335" w:type="dxa"/>
          </w:tcPr>
          <w:p w:rsidR="00BB0B11" w:rsidRPr="0057576B" w:rsidRDefault="00BB0B11" w:rsidP="00F17E43">
            <w:r w:rsidRPr="0057576B">
              <w:t>5</w:t>
            </w:r>
          </w:p>
        </w:tc>
        <w:tc>
          <w:tcPr>
            <w:tcW w:w="3209" w:type="dxa"/>
          </w:tcPr>
          <w:p w:rsidR="00BB0B11" w:rsidRPr="0057576B" w:rsidRDefault="00BB0B11" w:rsidP="00F17E43">
            <w:r w:rsidRPr="0057576B">
              <w:t>Лауреаты премий регионального, российского и  международного уровня</w:t>
            </w:r>
          </w:p>
        </w:tc>
        <w:tc>
          <w:tcPr>
            <w:tcW w:w="5670" w:type="dxa"/>
          </w:tcPr>
          <w:p w:rsidR="00BB0B11" w:rsidRPr="0057576B" w:rsidRDefault="00BB0B11" w:rsidP="00F17E43">
            <w:pPr>
              <w:rPr>
                <w:iCs/>
              </w:rPr>
            </w:pPr>
            <w:r w:rsidRPr="0057576B">
              <w:rPr>
                <w:iCs/>
              </w:rPr>
              <w:t xml:space="preserve">Учитывается количество лауреатов </w:t>
            </w:r>
          </w:p>
          <w:p w:rsidR="00BB0B11" w:rsidRDefault="00BB0B11" w:rsidP="00F17E43">
            <w:r w:rsidRPr="0057576B">
              <w:rPr>
                <w:iCs/>
              </w:rPr>
              <w:t>работающие в институте на год подведения рейтинга</w:t>
            </w:r>
            <w:r w:rsidRPr="0057576B">
              <w:t>. Сроки, за которые учитываются премии устанавливаются отдельным</w:t>
            </w:r>
            <w:r>
              <w:t xml:space="preserve"> </w:t>
            </w:r>
            <w:r w:rsidR="00766EC4">
              <w:t>Рабочей группой</w:t>
            </w:r>
            <w:r w:rsidRPr="0057576B">
              <w:t xml:space="preserve"> по рейтингу.</w:t>
            </w:r>
          </w:p>
          <w:p w:rsidR="00BB0B11" w:rsidRPr="0057576B" w:rsidRDefault="00BB0B11" w:rsidP="00F17E43">
            <w:r w:rsidRPr="0057576B">
              <w:t>При спорных случаях решение принимает Комиссия по рейтингу на основании экспертизы ЦМНиО и представления Институ</w:t>
            </w:r>
            <w:r>
              <w:t>та.</w:t>
            </w:r>
          </w:p>
          <w:p w:rsidR="00BB0B11" w:rsidRPr="0057576B" w:rsidRDefault="00BB0B11" w:rsidP="00F17E43">
            <w:pPr>
              <w:rPr>
                <w:iCs/>
              </w:rPr>
            </w:pPr>
            <w:r w:rsidRPr="0057576B">
              <w:t>Учитываются премии Президента, Правительства РФ, областных - Демидовской, Пермского края, Башкортостана  и т.п., корпоративных – Газпром и др., общественных организаций), городской Де Генина</w:t>
            </w:r>
            <w:r>
              <w:t>.</w:t>
            </w:r>
          </w:p>
        </w:tc>
        <w:tc>
          <w:tcPr>
            <w:tcW w:w="2551" w:type="dxa"/>
          </w:tcPr>
          <w:p w:rsidR="00BB0B11" w:rsidRPr="0057576B" w:rsidRDefault="00BB0B11" w:rsidP="00F17E43">
            <w:r>
              <w:t>Степень признания заслуг работников УрФУ.</w:t>
            </w:r>
          </w:p>
        </w:tc>
        <w:tc>
          <w:tcPr>
            <w:tcW w:w="2127" w:type="dxa"/>
          </w:tcPr>
          <w:p w:rsidR="00BB0B11" w:rsidRPr="0057576B" w:rsidRDefault="00BB0B11" w:rsidP="00F17E43">
            <w:r w:rsidRPr="0057576B">
              <w:t>Институты</w:t>
            </w:r>
          </w:p>
          <w:p w:rsidR="00BB0B11" w:rsidRPr="0057576B" w:rsidRDefault="00BB0B11" w:rsidP="00F17E43">
            <w:r w:rsidRPr="0057576B">
              <w:t>ЦМНиО (проверка), Комиссия по рейтингу утверждает результаты проверки.</w:t>
            </w:r>
          </w:p>
        </w:tc>
        <w:tc>
          <w:tcPr>
            <w:tcW w:w="850" w:type="dxa"/>
          </w:tcPr>
          <w:p w:rsidR="00BB0B11" w:rsidRPr="0057576B" w:rsidRDefault="00BB0B11" w:rsidP="00F17E43">
            <w:pPr>
              <w:jc w:val="center"/>
              <w:rPr>
                <w:iCs/>
              </w:rPr>
            </w:pPr>
            <w:r w:rsidRPr="0057576B">
              <w:rPr>
                <w:iCs/>
              </w:rPr>
              <w:t>20</w:t>
            </w:r>
          </w:p>
        </w:tc>
        <w:tc>
          <w:tcPr>
            <w:tcW w:w="992" w:type="dxa"/>
          </w:tcPr>
          <w:p w:rsidR="00BB0B11" w:rsidRPr="0057576B" w:rsidRDefault="00BB0B11" w:rsidP="00F17E43">
            <w:r w:rsidRPr="0057576B">
              <w:t>человек</w:t>
            </w:r>
          </w:p>
        </w:tc>
      </w:tr>
      <w:bookmarkEnd w:id="0"/>
    </w:tbl>
    <w:p w:rsidR="00BB0B11" w:rsidRPr="0057576B" w:rsidRDefault="00BB0B11" w:rsidP="00F17E43"/>
    <w:sectPr w:rsidR="00BB0B11" w:rsidRPr="0057576B" w:rsidSect="00B26A4C">
      <w:headerReference w:type="default" r:id="rId7"/>
      <w:pgSz w:w="16838" w:h="11906" w:orient="landscape"/>
      <w:pgMar w:top="1134" w:right="567" w:bottom="567" w:left="567"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5B" w:rsidRDefault="0040525B" w:rsidP="000E5AEB">
      <w:r>
        <w:separator/>
      </w:r>
    </w:p>
  </w:endnote>
  <w:endnote w:type="continuationSeparator" w:id="0">
    <w:p w:rsidR="0040525B" w:rsidRDefault="0040525B" w:rsidP="000E5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5B" w:rsidRDefault="0040525B" w:rsidP="000E5AEB">
      <w:r>
        <w:separator/>
      </w:r>
    </w:p>
  </w:footnote>
  <w:footnote w:type="continuationSeparator" w:id="0">
    <w:p w:rsidR="0040525B" w:rsidRDefault="0040525B" w:rsidP="000E5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951788"/>
      <w:docPartObj>
        <w:docPartGallery w:val="Page Numbers (Top of Page)"/>
        <w:docPartUnique/>
      </w:docPartObj>
    </w:sdtPr>
    <w:sdtContent>
      <w:p w:rsidR="002F6843" w:rsidRDefault="001E2C1A">
        <w:pPr>
          <w:pStyle w:val="af"/>
          <w:jc w:val="right"/>
        </w:pPr>
        <w:fldSimple w:instr=" PAGE   \* MERGEFORMAT ">
          <w:r w:rsidR="00FA4AE8">
            <w:rPr>
              <w:noProof/>
            </w:rPr>
            <w:t>4</w:t>
          </w:r>
        </w:fldSimple>
      </w:p>
    </w:sdtContent>
  </w:sdt>
  <w:p w:rsidR="002F6843" w:rsidRDefault="002F684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E09"/>
    <w:multiLevelType w:val="hybridMultilevel"/>
    <w:tmpl w:val="BF0CC1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923D02"/>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BE550B"/>
    <w:multiLevelType w:val="hybridMultilevel"/>
    <w:tmpl w:val="2F845166"/>
    <w:lvl w:ilvl="0" w:tplc="0419000F">
      <w:start w:val="1"/>
      <w:numFmt w:val="decimal"/>
      <w:lvlText w:val="%1."/>
      <w:lvlJc w:val="left"/>
      <w:pPr>
        <w:ind w:left="720" w:hanging="360"/>
      </w:pPr>
      <w:rPr>
        <w:rFonts w:cs="Times New Roman"/>
      </w:rPr>
    </w:lvl>
    <w:lvl w:ilvl="1" w:tplc="1504C12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6176F0"/>
    <w:multiLevelType w:val="hybridMultilevel"/>
    <w:tmpl w:val="8C32EA4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C46430"/>
    <w:multiLevelType w:val="hybridMultilevel"/>
    <w:tmpl w:val="B27CE29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166295D"/>
    <w:multiLevelType w:val="hybridMultilevel"/>
    <w:tmpl w:val="324040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431A73"/>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79462C"/>
    <w:multiLevelType w:val="hybridMultilevel"/>
    <w:tmpl w:val="8C32EA4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B647AF0"/>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C83B73"/>
    <w:multiLevelType w:val="hybridMultilevel"/>
    <w:tmpl w:val="CC08CE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1A2C10"/>
    <w:multiLevelType w:val="multilevel"/>
    <w:tmpl w:val="C6264F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3C50334"/>
    <w:multiLevelType w:val="hybridMultilevel"/>
    <w:tmpl w:val="8C32EA4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5F0154B"/>
    <w:multiLevelType w:val="hybridMultilevel"/>
    <w:tmpl w:val="3A82F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3A6801"/>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F24559"/>
    <w:multiLevelType w:val="hybridMultilevel"/>
    <w:tmpl w:val="5A2483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2F678A"/>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2610A8"/>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9A323A"/>
    <w:multiLevelType w:val="hybridMultilevel"/>
    <w:tmpl w:val="63C25F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8E6F87"/>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B124BB"/>
    <w:multiLevelType w:val="multilevel"/>
    <w:tmpl w:val="BF7A3F3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A2D224D"/>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520A8A"/>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E7311B"/>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817A78"/>
    <w:multiLevelType w:val="hybridMultilevel"/>
    <w:tmpl w:val="2872E6CC"/>
    <w:lvl w:ilvl="0" w:tplc="1504C12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9C28B5"/>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8677B7"/>
    <w:multiLevelType w:val="hybridMultilevel"/>
    <w:tmpl w:val="EDA0D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D3215B"/>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0B0D3A"/>
    <w:multiLevelType w:val="hybridMultilevel"/>
    <w:tmpl w:val="6396DB3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72B4D1E"/>
    <w:multiLevelType w:val="hybridMultilevel"/>
    <w:tmpl w:val="69F42A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5767C6"/>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C01A2E"/>
    <w:multiLevelType w:val="hybridMultilevel"/>
    <w:tmpl w:val="44E6A66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5455447"/>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8C05F9"/>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C55D16"/>
    <w:multiLevelType w:val="multilevel"/>
    <w:tmpl w:val="CD20E1E0"/>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8414492"/>
    <w:multiLevelType w:val="hybridMultilevel"/>
    <w:tmpl w:val="BF0CC1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546BC9"/>
    <w:multiLevelType w:val="hybridMultilevel"/>
    <w:tmpl w:val="83BADC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EA91628"/>
    <w:multiLevelType w:val="hybridMultilevel"/>
    <w:tmpl w:val="41523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AC10A5"/>
    <w:multiLevelType w:val="hybridMultilevel"/>
    <w:tmpl w:val="7122A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264402"/>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FF361C"/>
    <w:multiLevelType w:val="hybridMultilevel"/>
    <w:tmpl w:val="3A82F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7F5643"/>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430B09"/>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C54041A"/>
    <w:multiLevelType w:val="hybridMultilevel"/>
    <w:tmpl w:val="17E29664"/>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27"/>
  </w:num>
  <w:num w:numId="4">
    <w:abstractNumId w:val="39"/>
  </w:num>
  <w:num w:numId="5">
    <w:abstractNumId w:val="1"/>
  </w:num>
  <w:num w:numId="6">
    <w:abstractNumId w:val="20"/>
  </w:num>
  <w:num w:numId="7">
    <w:abstractNumId w:val="24"/>
  </w:num>
  <w:num w:numId="8">
    <w:abstractNumId w:val="12"/>
  </w:num>
  <w:num w:numId="9">
    <w:abstractNumId w:val="26"/>
  </w:num>
  <w:num w:numId="10">
    <w:abstractNumId w:val="41"/>
  </w:num>
  <w:num w:numId="11">
    <w:abstractNumId w:val="34"/>
  </w:num>
  <w:num w:numId="12">
    <w:abstractNumId w:val="0"/>
  </w:num>
  <w:num w:numId="13">
    <w:abstractNumId w:val="25"/>
  </w:num>
  <w:num w:numId="14">
    <w:abstractNumId w:val="22"/>
  </w:num>
  <w:num w:numId="15">
    <w:abstractNumId w:val="29"/>
  </w:num>
  <w:num w:numId="16">
    <w:abstractNumId w:val="17"/>
  </w:num>
  <w:num w:numId="17">
    <w:abstractNumId w:val="4"/>
  </w:num>
  <w:num w:numId="18">
    <w:abstractNumId w:val="38"/>
  </w:num>
  <w:num w:numId="19">
    <w:abstractNumId w:val="18"/>
  </w:num>
  <w:num w:numId="20">
    <w:abstractNumId w:val="21"/>
  </w:num>
  <w:num w:numId="21">
    <w:abstractNumId w:val="8"/>
  </w:num>
  <w:num w:numId="22">
    <w:abstractNumId w:val="40"/>
  </w:num>
  <w:num w:numId="23">
    <w:abstractNumId w:val="32"/>
  </w:num>
  <w:num w:numId="24">
    <w:abstractNumId w:val="16"/>
  </w:num>
  <w:num w:numId="25">
    <w:abstractNumId w:val="6"/>
  </w:num>
  <w:num w:numId="26">
    <w:abstractNumId w:val="36"/>
  </w:num>
  <w:num w:numId="27">
    <w:abstractNumId w:val="28"/>
  </w:num>
  <w:num w:numId="28">
    <w:abstractNumId w:val="15"/>
  </w:num>
  <w:num w:numId="29">
    <w:abstractNumId w:val="31"/>
  </w:num>
  <w:num w:numId="30">
    <w:abstractNumId w:val="2"/>
  </w:num>
  <w:num w:numId="31">
    <w:abstractNumId w:val="30"/>
  </w:num>
  <w:num w:numId="32">
    <w:abstractNumId w:val="11"/>
  </w:num>
  <w:num w:numId="33">
    <w:abstractNumId w:val="3"/>
  </w:num>
  <w:num w:numId="34">
    <w:abstractNumId w:val="7"/>
  </w:num>
  <w:num w:numId="35">
    <w:abstractNumId w:val="23"/>
  </w:num>
  <w:num w:numId="36">
    <w:abstractNumId w:val="9"/>
  </w:num>
  <w:num w:numId="37">
    <w:abstractNumId w:val="14"/>
  </w:num>
  <w:num w:numId="38">
    <w:abstractNumId w:val="37"/>
  </w:num>
  <w:num w:numId="39">
    <w:abstractNumId w:val="5"/>
  </w:num>
  <w:num w:numId="40">
    <w:abstractNumId w:val="42"/>
  </w:num>
  <w:num w:numId="41">
    <w:abstractNumId w:val="35"/>
  </w:num>
  <w:num w:numId="42">
    <w:abstractNumId w:val="33"/>
  </w:num>
  <w:num w:numId="43">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36A7"/>
    <w:rsid w:val="00006225"/>
    <w:rsid w:val="000136E1"/>
    <w:rsid w:val="00026A18"/>
    <w:rsid w:val="000279E1"/>
    <w:rsid w:val="0003090D"/>
    <w:rsid w:val="00036603"/>
    <w:rsid w:val="00045530"/>
    <w:rsid w:val="00083113"/>
    <w:rsid w:val="000845E9"/>
    <w:rsid w:val="0008603A"/>
    <w:rsid w:val="00086C6D"/>
    <w:rsid w:val="000921C5"/>
    <w:rsid w:val="0009716C"/>
    <w:rsid w:val="000A3E51"/>
    <w:rsid w:val="000A7E00"/>
    <w:rsid w:val="000C3213"/>
    <w:rsid w:val="000C3D20"/>
    <w:rsid w:val="000D2832"/>
    <w:rsid w:val="000D3733"/>
    <w:rsid w:val="000E0DBA"/>
    <w:rsid w:val="000E5AEB"/>
    <w:rsid w:val="000E5DF3"/>
    <w:rsid w:val="000F6C3F"/>
    <w:rsid w:val="00112EA3"/>
    <w:rsid w:val="00117B97"/>
    <w:rsid w:val="0012317E"/>
    <w:rsid w:val="00126FFF"/>
    <w:rsid w:val="00132649"/>
    <w:rsid w:val="001348C2"/>
    <w:rsid w:val="00141850"/>
    <w:rsid w:val="0014420F"/>
    <w:rsid w:val="001451EE"/>
    <w:rsid w:val="00145C31"/>
    <w:rsid w:val="001555D9"/>
    <w:rsid w:val="001632B2"/>
    <w:rsid w:val="00163F79"/>
    <w:rsid w:val="00164E34"/>
    <w:rsid w:val="001812FD"/>
    <w:rsid w:val="00187965"/>
    <w:rsid w:val="001964BE"/>
    <w:rsid w:val="001C4C67"/>
    <w:rsid w:val="001C6D05"/>
    <w:rsid w:val="001C7891"/>
    <w:rsid w:val="001D0F97"/>
    <w:rsid w:val="001E2C1A"/>
    <w:rsid w:val="001F14C3"/>
    <w:rsid w:val="001F1719"/>
    <w:rsid w:val="001F7A0C"/>
    <w:rsid w:val="00200EE1"/>
    <w:rsid w:val="002114CE"/>
    <w:rsid w:val="00213461"/>
    <w:rsid w:val="00221C0E"/>
    <w:rsid w:val="00224E74"/>
    <w:rsid w:val="002315D5"/>
    <w:rsid w:val="002342FC"/>
    <w:rsid w:val="00255DE5"/>
    <w:rsid w:val="00261B08"/>
    <w:rsid w:val="00267613"/>
    <w:rsid w:val="00271156"/>
    <w:rsid w:val="00292818"/>
    <w:rsid w:val="00295647"/>
    <w:rsid w:val="002A6852"/>
    <w:rsid w:val="002B24FE"/>
    <w:rsid w:val="002B6077"/>
    <w:rsid w:val="002B698F"/>
    <w:rsid w:val="002D1CBC"/>
    <w:rsid w:val="002E09C8"/>
    <w:rsid w:val="002F1B04"/>
    <w:rsid w:val="002F3A00"/>
    <w:rsid w:val="002F6843"/>
    <w:rsid w:val="002F7097"/>
    <w:rsid w:val="00305A08"/>
    <w:rsid w:val="00312940"/>
    <w:rsid w:val="00323CD0"/>
    <w:rsid w:val="003302F2"/>
    <w:rsid w:val="003318E6"/>
    <w:rsid w:val="0033524C"/>
    <w:rsid w:val="00343446"/>
    <w:rsid w:val="003468BC"/>
    <w:rsid w:val="00347787"/>
    <w:rsid w:val="00347AE7"/>
    <w:rsid w:val="003537BB"/>
    <w:rsid w:val="00354DBA"/>
    <w:rsid w:val="00361389"/>
    <w:rsid w:val="003B04A2"/>
    <w:rsid w:val="003C2DA3"/>
    <w:rsid w:val="003C51F0"/>
    <w:rsid w:val="003E274B"/>
    <w:rsid w:val="003E2DD6"/>
    <w:rsid w:val="003E4E2C"/>
    <w:rsid w:val="003F2AFF"/>
    <w:rsid w:val="003F2D2E"/>
    <w:rsid w:val="003F4C79"/>
    <w:rsid w:val="0040525B"/>
    <w:rsid w:val="00413AF2"/>
    <w:rsid w:val="00414899"/>
    <w:rsid w:val="00415424"/>
    <w:rsid w:val="00420839"/>
    <w:rsid w:val="00423FFF"/>
    <w:rsid w:val="00436799"/>
    <w:rsid w:val="00442711"/>
    <w:rsid w:val="004519F2"/>
    <w:rsid w:val="00453F42"/>
    <w:rsid w:val="0046264D"/>
    <w:rsid w:val="00466ED9"/>
    <w:rsid w:val="004679EC"/>
    <w:rsid w:val="004715D2"/>
    <w:rsid w:val="004850F8"/>
    <w:rsid w:val="00490553"/>
    <w:rsid w:val="0049195E"/>
    <w:rsid w:val="00491A65"/>
    <w:rsid w:val="00493585"/>
    <w:rsid w:val="00494713"/>
    <w:rsid w:val="004A1845"/>
    <w:rsid w:val="004C2EE6"/>
    <w:rsid w:val="004C5A68"/>
    <w:rsid w:val="004C61BE"/>
    <w:rsid w:val="004D6812"/>
    <w:rsid w:val="004D7725"/>
    <w:rsid w:val="004E2757"/>
    <w:rsid w:val="004F19C1"/>
    <w:rsid w:val="004F7BA8"/>
    <w:rsid w:val="00502EE1"/>
    <w:rsid w:val="0050682C"/>
    <w:rsid w:val="00512DB0"/>
    <w:rsid w:val="00520740"/>
    <w:rsid w:val="00526C0F"/>
    <w:rsid w:val="00532D1F"/>
    <w:rsid w:val="00541729"/>
    <w:rsid w:val="0057576B"/>
    <w:rsid w:val="00582B27"/>
    <w:rsid w:val="00592299"/>
    <w:rsid w:val="0059555F"/>
    <w:rsid w:val="00595703"/>
    <w:rsid w:val="005C580A"/>
    <w:rsid w:val="005C7B3C"/>
    <w:rsid w:val="005D742D"/>
    <w:rsid w:val="005E5BF0"/>
    <w:rsid w:val="005E668F"/>
    <w:rsid w:val="005E7617"/>
    <w:rsid w:val="005F3EB6"/>
    <w:rsid w:val="005F4827"/>
    <w:rsid w:val="005F53AC"/>
    <w:rsid w:val="005F5671"/>
    <w:rsid w:val="005F66A7"/>
    <w:rsid w:val="005F78FB"/>
    <w:rsid w:val="00602239"/>
    <w:rsid w:val="0060463C"/>
    <w:rsid w:val="0060747C"/>
    <w:rsid w:val="00620E92"/>
    <w:rsid w:val="00621E5B"/>
    <w:rsid w:val="00626AE0"/>
    <w:rsid w:val="006303CC"/>
    <w:rsid w:val="006309D0"/>
    <w:rsid w:val="00630C0F"/>
    <w:rsid w:val="00634A70"/>
    <w:rsid w:val="00644AC6"/>
    <w:rsid w:val="00645BB4"/>
    <w:rsid w:val="00645BD2"/>
    <w:rsid w:val="006502F5"/>
    <w:rsid w:val="006576B3"/>
    <w:rsid w:val="00667293"/>
    <w:rsid w:val="00674797"/>
    <w:rsid w:val="006B28C5"/>
    <w:rsid w:val="006B3932"/>
    <w:rsid w:val="006B4A54"/>
    <w:rsid w:val="00701D66"/>
    <w:rsid w:val="00711EDD"/>
    <w:rsid w:val="007264E8"/>
    <w:rsid w:val="00740CB4"/>
    <w:rsid w:val="00742B36"/>
    <w:rsid w:val="00752061"/>
    <w:rsid w:val="007534B7"/>
    <w:rsid w:val="0075587C"/>
    <w:rsid w:val="007563F1"/>
    <w:rsid w:val="00757158"/>
    <w:rsid w:val="0076392D"/>
    <w:rsid w:val="00765A04"/>
    <w:rsid w:val="00766367"/>
    <w:rsid w:val="00766EC4"/>
    <w:rsid w:val="0078185E"/>
    <w:rsid w:val="00782E2B"/>
    <w:rsid w:val="00793DC0"/>
    <w:rsid w:val="007A3B24"/>
    <w:rsid w:val="007A5531"/>
    <w:rsid w:val="007B008E"/>
    <w:rsid w:val="007B3344"/>
    <w:rsid w:val="007B6F06"/>
    <w:rsid w:val="007B738E"/>
    <w:rsid w:val="007C35A7"/>
    <w:rsid w:val="007D72C2"/>
    <w:rsid w:val="007D7ACB"/>
    <w:rsid w:val="007F11D9"/>
    <w:rsid w:val="007F7C22"/>
    <w:rsid w:val="00803EFB"/>
    <w:rsid w:val="00804AA5"/>
    <w:rsid w:val="00805550"/>
    <w:rsid w:val="0081393E"/>
    <w:rsid w:val="008173D8"/>
    <w:rsid w:val="00821185"/>
    <w:rsid w:val="008254D2"/>
    <w:rsid w:val="00827B70"/>
    <w:rsid w:val="0083793B"/>
    <w:rsid w:val="00841D45"/>
    <w:rsid w:val="00843E68"/>
    <w:rsid w:val="00864412"/>
    <w:rsid w:val="00890FB3"/>
    <w:rsid w:val="008A628E"/>
    <w:rsid w:val="008B70CC"/>
    <w:rsid w:val="008C421A"/>
    <w:rsid w:val="008D6829"/>
    <w:rsid w:val="008F42A1"/>
    <w:rsid w:val="009070F4"/>
    <w:rsid w:val="00925490"/>
    <w:rsid w:val="009435A4"/>
    <w:rsid w:val="00952BD0"/>
    <w:rsid w:val="00960CB9"/>
    <w:rsid w:val="009701D0"/>
    <w:rsid w:val="00970F77"/>
    <w:rsid w:val="009834E5"/>
    <w:rsid w:val="00992CF3"/>
    <w:rsid w:val="009A2FE0"/>
    <w:rsid w:val="009A4985"/>
    <w:rsid w:val="009A6344"/>
    <w:rsid w:val="009B1E3A"/>
    <w:rsid w:val="009B5D68"/>
    <w:rsid w:val="009C4CA5"/>
    <w:rsid w:val="009C4ED8"/>
    <w:rsid w:val="009D2F84"/>
    <w:rsid w:val="009E4050"/>
    <w:rsid w:val="009E40A4"/>
    <w:rsid w:val="009F6508"/>
    <w:rsid w:val="009F7B4D"/>
    <w:rsid w:val="00A00212"/>
    <w:rsid w:val="00A03154"/>
    <w:rsid w:val="00A039D1"/>
    <w:rsid w:val="00A1076C"/>
    <w:rsid w:val="00A130F8"/>
    <w:rsid w:val="00A27C0E"/>
    <w:rsid w:val="00A347EB"/>
    <w:rsid w:val="00A507E9"/>
    <w:rsid w:val="00A564D1"/>
    <w:rsid w:val="00A57DA7"/>
    <w:rsid w:val="00A61386"/>
    <w:rsid w:val="00A816A5"/>
    <w:rsid w:val="00A86C40"/>
    <w:rsid w:val="00A95B2D"/>
    <w:rsid w:val="00AA2940"/>
    <w:rsid w:val="00AB5E5C"/>
    <w:rsid w:val="00AB6BA3"/>
    <w:rsid w:val="00AD3F58"/>
    <w:rsid w:val="00AD5773"/>
    <w:rsid w:val="00AE4323"/>
    <w:rsid w:val="00AE5A8A"/>
    <w:rsid w:val="00B03BDE"/>
    <w:rsid w:val="00B0780C"/>
    <w:rsid w:val="00B173BC"/>
    <w:rsid w:val="00B212CE"/>
    <w:rsid w:val="00B26A4C"/>
    <w:rsid w:val="00B33BCB"/>
    <w:rsid w:val="00B3493D"/>
    <w:rsid w:val="00B4316A"/>
    <w:rsid w:val="00B6021C"/>
    <w:rsid w:val="00B77214"/>
    <w:rsid w:val="00B82EE8"/>
    <w:rsid w:val="00B90072"/>
    <w:rsid w:val="00B90282"/>
    <w:rsid w:val="00B935D9"/>
    <w:rsid w:val="00B93A06"/>
    <w:rsid w:val="00BA2A19"/>
    <w:rsid w:val="00BA3322"/>
    <w:rsid w:val="00BB0B11"/>
    <w:rsid w:val="00BD2710"/>
    <w:rsid w:val="00C0019C"/>
    <w:rsid w:val="00C0234A"/>
    <w:rsid w:val="00C03382"/>
    <w:rsid w:val="00C03B49"/>
    <w:rsid w:val="00C03EFA"/>
    <w:rsid w:val="00C11CF5"/>
    <w:rsid w:val="00C12664"/>
    <w:rsid w:val="00C162D8"/>
    <w:rsid w:val="00C16E1E"/>
    <w:rsid w:val="00C4377F"/>
    <w:rsid w:val="00C5143A"/>
    <w:rsid w:val="00C61D5F"/>
    <w:rsid w:val="00C63D6A"/>
    <w:rsid w:val="00C65328"/>
    <w:rsid w:val="00C730D2"/>
    <w:rsid w:val="00C82143"/>
    <w:rsid w:val="00C9563D"/>
    <w:rsid w:val="00CA6E8C"/>
    <w:rsid w:val="00CA73FC"/>
    <w:rsid w:val="00CC0B6E"/>
    <w:rsid w:val="00CC5BB4"/>
    <w:rsid w:val="00CE2C50"/>
    <w:rsid w:val="00CE3B8E"/>
    <w:rsid w:val="00CF37B9"/>
    <w:rsid w:val="00D12ADA"/>
    <w:rsid w:val="00D3295A"/>
    <w:rsid w:val="00D34240"/>
    <w:rsid w:val="00D3665C"/>
    <w:rsid w:val="00D40FED"/>
    <w:rsid w:val="00D44226"/>
    <w:rsid w:val="00D45638"/>
    <w:rsid w:val="00D47652"/>
    <w:rsid w:val="00D515DD"/>
    <w:rsid w:val="00D82EFB"/>
    <w:rsid w:val="00D84668"/>
    <w:rsid w:val="00D90330"/>
    <w:rsid w:val="00D92F7E"/>
    <w:rsid w:val="00DA1BE3"/>
    <w:rsid w:val="00DA7A45"/>
    <w:rsid w:val="00DB533E"/>
    <w:rsid w:val="00DC08F2"/>
    <w:rsid w:val="00DE58DE"/>
    <w:rsid w:val="00E026F9"/>
    <w:rsid w:val="00E2328E"/>
    <w:rsid w:val="00E27CB6"/>
    <w:rsid w:val="00E35ECD"/>
    <w:rsid w:val="00E44795"/>
    <w:rsid w:val="00E601A3"/>
    <w:rsid w:val="00E67393"/>
    <w:rsid w:val="00E75CA6"/>
    <w:rsid w:val="00E7778F"/>
    <w:rsid w:val="00E92ABD"/>
    <w:rsid w:val="00ED4625"/>
    <w:rsid w:val="00EE0924"/>
    <w:rsid w:val="00EE23A7"/>
    <w:rsid w:val="00EE49A0"/>
    <w:rsid w:val="00EE615D"/>
    <w:rsid w:val="00F00413"/>
    <w:rsid w:val="00F00E5C"/>
    <w:rsid w:val="00F036A7"/>
    <w:rsid w:val="00F1118D"/>
    <w:rsid w:val="00F17E43"/>
    <w:rsid w:val="00F22973"/>
    <w:rsid w:val="00F236BE"/>
    <w:rsid w:val="00F30496"/>
    <w:rsid w:val="00F36673"/>
    <w:rsid w:val="00F475EA"/>
    <w:rsid w:val="00F53098"/>
    <w:rsid w:val="00F54998"/>
    <w:rsid w:val="00F64C71"/>
    <w:rsid w:val="00F6692A"/>
    <w:rsid w:val="00F85C89"/>
    <w:rsid w:val="00F93178"/>
    <w:rsid w:val="00FA4AE8"/>
    <w:rsid w:val="00FC5FD6"/>
    <w:rsid w:val="00FE1644"/>
    <w:rsid w:val="00FE2BB4"/>
    <w:rsid w:val="00FE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30C0F"/>
    <w:rPr>
      <w:sz w:val="24"/>
      <w:szCs w:val="24"/>
    </w:rPr>
  </w:style>
  <w:style w:type="paragraph" w:styleId="1">
    <w:name w:val="heading 1"/>
    <w:basedOn w:val="a"/>
    <w:next w:val="a"/>
    <w:link w:val="10"/>
    <w:uiPriority w:val="99"/>
    <w:qFormat/>
    <w:rsid w:val="00B3493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3493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349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55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F17E43"/>
    <w:rPr>
      <w:rFonts w:ascii="Arial" w:hAnsi="Arial"/>
      <w:b/>
      <w:i/>
      <w:sz w:val="28"/>
    </w:rPr>
  </w:style>
  <w:style w:type="character" w:customStyle="1" w:styleId="30">
    <w:name w:val="Заголовок 3 Знак"/>
    <w:basedOn w:val="a0"/>
    <w:link w:val="3"/>
    <w:uiPriority w:val="9"/>
    <w:semiHidden/>
    <w:rsid w:val="00984554"/>
    <w:rPr>
      <w:rFonts w:asciiTheme="majorHAnsi" w:eastAsiaTheme="majorEastAsia" w:hAnsiTheme="majorHAnsi" w:cstheme="majorBidi"/>
      <w:b/>
      <w:bCs/>
      <w:sz w:val="26"/>
      <w:szCs w:val="26"/>
    </w:rPr>
  </w:style>
  <w:style w:type="table" w:styleId="a3">
    <w:name w:val="Table Grid"/>
    <w:basedOn w:val="a1"/>
    <w:uiPriority w:val="99"/>
    <w:rsid w:val="00F03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rsid w:val="00AE5A8A"/>
    <w:rPr>
      <w:rFonts w:cs="Times New Roman"/>
      <w:sz w:val="16"/>
    </w:rPr>
  </w:style>
  <w:style w:type="paragraph" w:styleId="a5">
    <w:name w:val="annotation text"/>
    <w:basedOn w:val="a"/>
    <w:link w:val="a6"/>
    <w:uiPriority w:val="99"/>
    <w:rsid w:val="00AE5A8A"/>
    <w:rPr>
      <w:sz w:val="20"/>
      <w:szCs w:val="20"/>
    </w:rPr>
  </w:style>
  <w:style w:type="character" w:customStyle="1" w:styleId="a6">
    <w:name w:val="Текст примечания Знак"/>
    <w:basedOn w:val="a0"/>
    <w:link w:val="a5"/>
    <w:uiPriority w:val="99"/>
    <w:locked/>
    <w:rsid w:val="00F17E43"/>
    <w:rPr>
      <w:rFonts w:cs="Times New Roman"/>
    </w:rPr>
  </w:style>
  <w:style w:type="paragraph" w:styleId="a7">
    <w:name w:val="annotation subject"/>
    <w:basedOn w:val="a5"/>
    <w:next w:val="a5"/>
    <w:link w:val="a8"/>
    <w:uiPriority w:val="99"/>
    <w:rsid w:val="00AE5A8A"/>
    <w:rPr>
      <w:b/>
      <w:bCs/>
    </w:rPr>
  </w:style>
  <w:style w:type="character" w:customStyle="1" w:styleId="a8">
    <w:name w:val="Тема примечания Знак"/>
    <w:basedOn w:val="a6"/>
    <w:link w:val="a7"/>
    <w:uiPriority w:val="99"/>
    <w:locked/>
    <w:rsid w:val="00F17E43"/>
    <w:rPr>
      <w:rFonts w:cs="Times New Roman"/>
      <w:b/>
    </w:rPr>
  </w:style>
  <w:style w:type="paragraph" w:styleId="a9">
    <w:name w:val="Balloon Text"/>
    <w:basedOn w:val="a"/>
    <w:link w:val="aa"/>
    <w:uiPriority w:val="99"/>
    <w:rsid w:val="00AE5A8A"/>
    <w:rPr>
      <w:rFonts w:ascii="Tahoma" w:hAnsi="Tahoma"/>
      <w:sz w:val="16"/>
      <w:szCs w:val="16"/>
    </w:rPr>
  </w:style>
  <w:style w:type="character" w:customStyle="1" w:styleId="aa">
    <w:name w:val="Текст выноски Знак"/>
    <w:basedOn w:val="a0"/>
    <w:link w:val="a9"/>
    <w:uiPriority w:val="99"/>
    <w:locked/>
    <w:rsid w:val="00F17E43"/>
    <w:rPr>
      <w:rFonts w:ascii="Tahoma" w:hAnsi="Tahoma"/>
      <w:sz w:val="16"/>
    </w:rPr>
  </w:style>
  <w:style w:type="character" w:styleId="ab">
    <w:name w:val="Hyperlink"/>
    <w:basedOn w:val="a0"/>
    <w:uiPriority w:val="99"/>
    <w:rsid w:val="007D72C2"/>
    <w:rPr>
      <w:rFonts w:cs="Times New Roman"/>
      <w:color w:val="0000FF"/>
      <w:u w:val="single"/>
    </w:rPr>
  </w:style>
  <w:style w:type="paragraph" w:styleId="ac">
    <w:name w:val="List Paragraph"/>
    <w:basedOn w:val="a"/>
    <w:link w:val="ad"/>
    <w:uiPriority w:val="99"/>
    <w:qFormat/>
    <w:rsid w:val="00490553"/>
    <w:pPr>
      <w:ind w:left="720"/>
      <w:contextualSpacing/>
    </w:pPr>
  </w:style>
  <w:style w:type="character" w:customStyle="1" w:styleId="ad">
    <w:name w:val="Абзац списка Знак"/>
    <w:link w:val="ac"/>
    <w:uiPriority w:val="99"/>
    <w:locked/>
    <w:rsid w:val="00F17E43"/>
    <w:rPr>
      <w:sz w:val="24"/>
    </w:rPr>
  </w:style>
  <w:style w:type="paragraph" w:styleId="ae">
    <w:name w:val="TOC Heading"/>
    <w:basedOn w:val="1"/>
    <w:next w:val="a"/>
    <w:uiPriority w:val="99"/>
    <w:qFormat/>
    <w:rsid w:val="00CA73FC"/>
    <w:pPr>
      <w:keepLines/>
      <w:spacing w:before="480" w:after="0" w:line="276" w:lineRule="auto"/>
      <w:outlineLvl w:val="9"/>
    </w:pPr>
    <w:rPr>
      <w:rFonts w:ascii="Cambria" w:hAnsi="Cambria" w:cs="Times New Roman"/>
      <w:color w:val="365F91"/>
      <w:kern w:val="0"/>
      <w:sz w:val="28"/>
      <w:szCs w:val="28"/>
      <w:lang w:eastAsia="en-US"/>
    </w:rPr>
  </w:style>
  <w:style w:type="paragraph" w:styleId="21">
    <w:name w:val="toc 2"/>
    <w:basedOn w:val="a"/>
    <w:next w:val="a"/>
    <w:autoRedefine/>
    <w:uiPriority w:val="99"/>
    <w:rsid w:val="00CA73FC"/>
    <w:pPr>
      <w:spacing w:after="100" w:line="276" w:lineRule="auto"/>
      <w:ind w:left="220"/>
    </w:pPr>
    <w:rPr>
      <w:rFonts w:ascii="Calibri" w:hAnsi="Calibri"/>
      <w:sz w:val="22"/>
      <w:szCs w:val="22"/>
      <w:lang w:eastAsia="en-US"/>
    </w:rPr>
  </w:style>
  <w:style w:type="paragraph" w:styleId="11">
    <w:name w:val="toc 1"/>
    <w:basedOn w:val="a"/>
    <w:next w:val="a"/>
    <w:autoRedefine/>
    <w:uiPriority w:val="99"/>
    <w:rsid w:val="00CA73FC"/>
    <w:pPr>
      <w:spacing w:after="100" w:line="276" w:lineRule="auto"/>
    </w:pPr>
    <w:rPr>
      <w:rFonts w:ascii="Calibri" w:hAnsi="Calibri"/>
      <w:sz w:val="22"/>
      <w:szCs w:val="22"/>
      <w:lang w:eastAsia="en-US"/>
    </w:rPr>
  </w:style>
  <w:style w:type="paragraph" w:styleId="31">
    <w:name w:val="toc 3"/>
    <w:basedOn w:val="a"/>
    <w:next w:val="a"/>
    <w:autoRedefine/>
    <w:uiPriority w:val="99"/>
    <w:rsid w:val="00CA73FC"/>
    <w:pPr>
      <w:spacing w:after="100" w:line="276" w:lineRule="auto"/>
      <w:ind w:left="440"/>
    </w:pPr>
    <w:rPr>
      <w:rFonts w:ascii="Calibri" w:hAnsi="Calibri"/>
      <w:sz w:val="22"/>
      <w:szCs w:val="22"/>
      <w:lang w:eastAsia="en-US"/>
    </w:rPr>
  </w:style>
  <w:style w:type="paragraph" w:styleId="af">
    <w:name w:val="header"/>
    <w:basedOn w:val="a"/>
    <w:link w:val="af0"/>
    <w:uiPriority w:val="99"/>
    <w:rsid w:val="000E5AEB"/>
    <w:pPr>
      <w:tabs>
        <w:tab w:val="center" w:pos="4677"/>
        <w:tab w:val="right" w:pos="9355"/>
      </w:tabs>
    </w:pPr>
  </w:style>
  <w:style w:type="character" w:customStyle="1" w:styleId="af0">
    <w:name w:val="Верхний колонтитул Знак"/>
    <w:basedOn w:val="a0"/>
    <w:link w:val="af"/>
    <w:uiPriority w:val="99"/>
    <w:locked/>
    <w:rsid w:val="000E5AEB"/>
    <w:rPr>
      <w:sz w:val="24"/>
    </w:rPr>
  </w:style>
  <w:style w:type="paragraph" w:styleId="af1">
    <w:name w:val="footer"/>
    <w:basedOn w:val="a"/>
    <w:link w:val="af2"/>
    <w:uiPriority w:val="99"/>
    <w:rsid w:val="000E5AEB"/>
    <w:pPr>
      <w:tabs>
        <w:tab w:val="center" w:pos="4677"/>
        <w:tab w:val="right" w:pos="9355"/>
      </w:tabs>
    </w:pPr>
  </w:style>
  <w:style w:type="character" w:customStyle="1" w:styleId="af2">
    <w:name w:val="Нижний колонтитул Знак"/>
    <w:basedOn w:val="a0"/>
    <w:link w:val="af1"/>
    <w:uiPriority w:val="99"/>
    <w:locked/>
    <w:rsid w:val="000E5AEB"/>
    <w:rPr>
      <w:sz w:val="24"/>
    </w:rPr>
  </w:style>
  <w:style w:type="paragraph" w:styleId="af3">
    <w:name w:val="Normal (Web)"/>
    <w:basedOn w:val="a"/>
    <w:uiPriority w:val="99"/>
    <w:rsid w:val="00112EA3"/>
    <w:pPr>
      <w:spacing w:before="100" w:beforeAutospacing="1" w:after="100" w:afterAutospacing="1"/>
    </w:pPr>
  </w:style>
  <w:style w:type="paragraph" w:customStyle="1" w:styleId="12">
    <w:name w:val="Абзац списка1"/>
    <w:basedOn w:val="a"/>
    <w:uiPriority w:val="99"/>
    <w:rsid w:val="00F17E43"/>
    <w:pPr>
      <w:ind w:left="720"/>
    </w:pPr>
    <w:rPr>
      <w:rFonts w:ascii="Cambria" w:eastAsia="MS Minngs" w:hAnsi="Cambria"/>
    </w:rPr>
  </w:style>
  <w:style w:type="paragraph" w:customStyle="1" w:styleId="Default">
    <w:name w:val="Default"/>
    <w:uiPriority w:val="99"/>
    <w:rsid w:val="00F17E43"/>
    <w:pPr>
      <w:autoSpaceDE w:val="0"/>
      <w:autoSpaceDN w:val="0"/>
      <w:adjustRightInd w:val="0"/>
    </w:pPr>
    <w:rPr>
      <w:color w:val="000000"/>
      <w:sz w:val="24"/>
      <w:szCs w:val="24"/>
      <w:lang w:eastAsia="en-US"/>
    </w:rPr>
  </w:style>
  <w:style w:type="paragraph" w:styleId="af4">
    <w:name w:val="No Spacing"/>
    <w:uiPriority w:val="99"/>
    <w:qFormat/>
    <w:rsid w:val="00F17E4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30C0F"/>
    <w:rPr>
      <w:sz w:val="24"/>
      <w:szCs w:val="24"/>
    </w:rPr>
  </w:style>
  <w:style w:type="paragraph" w:styleId="1">
    <w:name w:val="heading 1"/>
    <w:basedOn w:val="a"/>
    <w:next w:val="a"/>
    <w:link w:val="10"/>
    <w:uiPriority w:val="99"/>
    <w:qFormat/>
    <w:rsid w:val="00B3493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3493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349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55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F17E43"/>
    <w:rPr>
      <w:rFonts w:ascii="Arial" w:hAnsi="Arial"/>
      <w:b/>
      <w:i/>
      <w:sz w:val="28"/>
    </w:rPr>
  </w:style>
  <w:style w:type="character" w:customStyle="1" w:styleId="30">
    <w:name w:val="Заголовок 3 Знак"/>
    <w:basedOn w:val="a0"/>
    <w:link w:val="3"/>
    <w:uiPriority w:val="9"/>
    <w:semiHidden/>
    <w:rsid w:val="00984554"/>
    <w:rPr>
      <w:rFonts w:asciiTheme="majorHAnsi" w:eastAsiaTheme="majorEastAsia" w:hAnsiTheme="majorHAnsi" w:cstheme="majorBidi"/>
      <w:b/>
      <w:bCs/>
      <w:sz w:val="26"/>
      <w:szCs w:val="26"/>
    </w:rPr>
  </w:style>
  <w:style w:type="table" w:styleId="a3">
    <w:name w:val="Table Grid"/>
    <w:basedOn w:val="a1"/>
    <w:uiPriority w:val="99"/>
    <w:rsid w:val="00F03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rsid w:val="00AE5A8A"/>
    <w:rPr>
      <w:rFonts w:cs="Times New Roman"/>
      <w:sz w:val="16"/>
    </w:rPr>
  </w:style>
  <w:style w:type="paragraph" w:styleId="a5">
    <w:name w:val="annotation text"/>
    <w:basedOn w:val="a"/>
    <w:link w:val="a6"/>
    <w:uiPriority w:val="99"/>
    <w:rsid w:val="00AE5A8A"/>
    <w:rPr>
      <w:sz w:val="20"/>
      <w:szCs w:val="20"/>
    </w:rPr>
  </w:style>
  <w:style w:type="character" w:customStyle="1" w:styleId="a6">
    <w:name w:val="Текст примечания Знак"/>
    <w:basedOn w:val="a0"/>
    <w:link w:val="a5"/>
    <w:uiPriority w:val="99"/>
    <w:locked/>
    <w:rsid w:val="00F17E43"/>
    <w:rPr>
      <w:rFonts w:cs="Times New Roman"/>
    </w:rPr>
  </w:style>
  <w:style w:type="paragraph" w:styleId="a7">
    <w:name w:val="annotation subject"/>
    <w:basedOn w:val="a5"/>
    <w:next w:val="a5"/>
    <w:link w:val="a8"/>
    <w:uiPriority w:val="99"/>
    <w:rsid w:val="00AE5A8A"/>
    <w:rPr>
      <w:b/>
      <w:bCs/>
    </w:rPr>
  </w:style>
  <w:style w:type="character" w:customStyle="1" w:styleId="a8">
    <w:name w:val="Тема примечания Знак"/>
    <w:basedOn w:val="a6"/>
    <w:link w:val="a7"/>
    <w:uiPriority w:val="99"/>
    <w:locked/>
    <w:rsid w:val="00F17E43"/>
    <w:rPr>
      <w:rFonts w:cs="Times New Roman"/>
      <w:b/>
    </w:rPr>
  </w:style>
  <w:style w:type="paragraph" w:styleId="a9">
    <w:name w:val="Balloon Text"/>
    <w:basedOn w:val="a"/>
    <w:link w:val="aa"/>
    <w:uiPriority w:val="99"/>
    <w:rsid w:val="00AE5A8A"/>
    <w:rPr>
      <w:rFonts w:ascii="Tahoma" w:hAnsi="Tahoma"/>
      <w:sz w:val="16"/>
      <w:szCs w:val="16"/>
    </w:rPr>
  </w:style>
  <w:style w:type="character" w:customStyle="1" w:styleId="aa">
    <w:name w:val="Текст выноски Знак"/>
    <w:basedOn w:val="a0"/>
    <w:link w:val="a9"/>
    <w:uiPriority w:val="99"/>
    <w:locked/>
    <w:rsid w:val="00F17E43"/>
    <w:rPr>
      <w:rFonts w:ascii="Tahoma" w:hAnsi="Tahoma"/>
      <w:sz w:val="16"/>
    </w:rPr>
  </w:style>
  <w:style w:type="character" w:styleId="ab">
    <w:name w:val="Hyperlink"/>
    <w:basedOn w:val="a0"/>
    <w:uiPriority w:val="99"/>
    <w:rsid w:val="007D72C2"/>
    <w:rPr>
      <w:rFonts w:cs="Times New Roman"/>
      <w:color w:val="0000FF"/>
      <w:u w:val="single"/>
    </w:rPr>
  </w:style>
  <w:style w:type="paragraph" w:styleId="ac">
    <w:name w:val="List Paragraph"/>
    <w:basedOn w:val="a"/>
    <w:link w:val="ad"/>
    <w:uiPriority w:val="99"/>
    <w:qFormat/>
    <w:rsid w:val="00490553"/>
    <w:pPr>
      <w:ind w:left="720"/>
      <w:contextualSpacing/>
    </w:pPr>
  </w:style>
  <w:style w:type="character" w:customStyle="1" w:styleId="ad">
    <w:name w:val="Абзац списка Знак"/>
    <w:link w:val="ac"/>
    <w:uiPriority w:val="99"/>
    <w:locked/>
    <w:rsid w:val="00F17E43"/>
    <w:rPr>
      <w:sz w:val="24"/>
    </w:rPr>
  </w:style>
  <w:style w:type="paragraph" w:styleId="ae">
    <w:name w:val="TOC Heading"/>
    <w:basedOn w:val="1"/>
    <w:next w:val="a"/>
    <w:uiPriority w:val="99"/>
    <w:qFormat/>
    <w:rsid w:val="00CA73FC"/>
    <w:pPr>
      <w:keepLines/>
      <w:spacing w:before="480" w:after="0" w:line="276" w:lineRule="auto"/>
      <w:outlineLvl w:val="9"/>
    </w:pPr>
    <w:rPr>
      <w:rFonts w:ascii="Cambria" w:hAnsi="Cambria" w:cs="Times New Roman"/>
      <w:color w:val="365F91"/>
      <w:kern w:val="0"/>
      <w:sz w:val="28"/>
      <w:szCs w:val="28"/>
      <w:lang w:eastAsia="en-US"/>
    </w:rPr>
  </w:style>
  <w:style w:type="paragraph" w:styleId="21">
    <w:name w:val="toc 2"/>
    <w:basedOn w:val="a"/>
    <w:next w:val="a"/>
    <w:autoRedefine/>
    <w:uiPriority w:val="99"/>
    <w:rsid w:val="00CA73FC"/>
    <w:pPr>
      <w:spacing w:after="100" w:line="276" w:lineRule="auto"/>
      <w:ind w:left="220"/>
    </w:pPr>
    <w:rPr>
      <w:rFonts w:ascii="Calibri" w:hAnsi="Calibri"/>
      <w:sz w:val="22"/>
      <w:szCs w:val="22"/>
      <w:lang w:eastAsia="en-US"/>
    </w:rPr>
  </w:style>
  <w:style w:type="paragraph" w:styleId="11">
    <w:name w:val="toc 1"/>
    <w:basedOn w:val="a"/>
    <w:next w:val="a"/>
    <w:autoRedefine/>
    <w:uiPriority w:val="99"/>
    <w:rsid w:val="00CA73FC"/>
    <w:pPr>
      <w:spacing w:after="100" w:line="276" w:lineRule="auto"/>
    </w:pPr>
    <w:rPr>
      <w:rFonts w:ascii="Calibri" w:hAnsi="Calibri"/>
      <w:sz w:val="22"/>
      <w:szCs w:val="22"/>
      <w:lang w:eastAsia="en-US"/>
    </w:rPr>
  </w:style>
  <w:style w:type="paragraph" w:styleId="31">
    <w:name w:val="toc 3"/>
    <w:basedOn w:val="a"/>
    <w:next w:val="a"/>
    <w:autoRedefine/>
    <w:uiPriority w:val="99"/>
    <w:rsid w:val="00CA73FC"/>
    <w:pPr>
      <w:spacing w:after="100" w:line="276" w:lineRule="auto"/>
      <w:ind w:left="440"/>
    </w:pPr>
    <w:rPr>
      <w:rFonts w:ascii="Calibri" w:hAnsi="Calibri"/>
      <w:sz w:val="22"/>
      <w:szCs w:val="22"/>
      <w:lang w:eastAsia="en-US"/>
    </w:rPr>
  </w:style>
  <w:style w:type="paragraph" w:styleId="af">
    <w:name w:val="header"/>
    <w:basedOn w:val="a"/>
    <w:link w:val="af0"/>
    <w:uiPriority w:val="99"/>
    <w:rsid w:val="000E5AEB"/>
    <w:pPr>
      <w:tabs>
        <w:tab w:val="center" w:pos="4677"/>
        <w:tab w:val="right" w:pos="9355"/>
      </w:tabs>
    </w:pPr>
  </w:style>
  <w:style w:type="character" w:customStyle="1" w:styleId="af0">
    <w:name w:val="Верхний колонтитул Знак"/>
    <w:basedOn w:val="a0"/>
    <w:link w:val="af"/>
    <w:uiPriority w:val="99"/>
    <w:locked/>
    <w:rsid w:val="000E5AEB"/>
    <w:rPr>
      <w:sz w:val="24"/>
    </w:rPr>
  </w:style>
  <w:style w:type="paragraph" w:styleId="af1">
    <w:name w:val="footer"/>
    <w:basedOn w:val="a"/>
    <w:link w:val="af2"/>
    <w:uiPriority w:val="99"/>
    <w:rsid w:val="000E5AEB"/>
    <w:pPr>
      <w:tabs>
        <w:tab w:val="center" w:pos="4677"/>
        <w:tab w:val="right" w:pos="9355"/>
      </w:tabs>
    </w:pPr>
  </w:style>
  <w:style w:type="character" w:customStyle="1" w:styleId="af2">
    <w:name w:val="Нижний колонтитул Знак"/>
    <w:basedOn w:val="a0"/>
    <w:link w:val="af1"/>
    <w:uiPriority w:val="99"/>
    <w:locked/>
    <w:rsid w:val="000E5AEB"/>
    <w:rPr>
      <w:sz w:val="24"/>
    </w:rPr>
  </w:style>
  <w:style w:type="paragraph" w:styleId="af3">
    <w:name w:val="Normal (Web)"/>
    <w:basedOn w:val="a"/>
    <w:uiPriority w:val="99"/>
    <w:rsid w:val="00112EA3"/>
    <w:pPr>
      <w:spacing w:before="100" w:beforeAutospacing="1" w:after="100" w:afterAutospacing="1"/>
    </w:pPr>
  </w:style>
  <w:style w:type="paragraph" w:customStyle="1" w:styleId="12">
    <w:name w:val="Абзац списка1"/>
    <w:basedOn w:val="a"/>
    <w:uiPriority w:val="99"/>
    <w:rsid w:val="00F17E43"/>
    <w:pPr>
      <w:ind w:left="720"/>
    </w:pPr>
    <w:rPr>
      <w:rFonts w:ascii="Cambria" w:eastAsia="MS Minngs" w:hAnsi="Cambria"/>
    </w:rPr>
  </w:style>
  <w:style w:type="paragraph" w:customStyle="1" w:styleId="Default">
    <w:name w:val="Default"/>
    <w:uiPriority w:val="99"/>
    <w:rsid w:val="00F17E43"/>
    <w:pPr>
      <w:autoSpaceDE w:val="0"/>
      <w:autoSpaceDN w:val="0"/>
      <w:adjustRightInd w:val="0"/>
    </w:pPr>
    <w:rPr>
      <w:color w:val="000000"/>
      <w:sz w:val="24"/>
      <w:szCs w:val="24"/>
      <w:lang w:eastAsia="en-US"/>
    </w:rPr>
  </w:style>
  <w:style w:type="paragraph" w:styleId="af4">
    <w:name w:val="No Spacing"/>
    <w:uiPriority w:val="99"/>
    <w:qFormat/>
    <w:rsid w:val="00F17E43"/>
    <w:rPr>
      <w:sz w:val="24"/>
      <w:lang w:eastAsia="en-US"/>
    </w:rPr>
  </w:style>
</w:styles>
</file>

<file path=word/webSettings.xml><?xml version="1.0" encoding="utf-8"?>
<w:webSettings xmlns:r="http://schemas.openxmlformats.org/officeDocument/2006/relationships" xmlns:w="http://schemas.openxmlformats.org/wordprocessingml/2006/main">
  <w:divs>
    <w:div w:id="193627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Управление кадров</vt:lpstr>
    </vt:vector>
  </TitlesOfParts>
  <Company/>
  <LinksUpToDate>false</LinksUpToDate>
  <CharactersWithSpaces>32023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кадров</dc:title>
  <dc:creator>Work</dc:creator>
  <cp:lastModifiedBy>mrcs</cp:lastModifiedBy>
  <cp:revision>2</cp:revision>
  <cp:lastPrinted>2013-01-23T11:08:00Z</cp:lastPrinted>
  <dcterms:created xsi:type="dcterms:W3CDTF">2013-04-05T04:11:00Z</dcterms:created>
  <dcterms:modified xsi:type="dcterms:W3CDTF">2013-04-05T04:11:00Z</dcterms:modified>
</cp:coreProperties>
</file>