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FC" w:rsidRDefault="00EB0BFC" w:rsidP="00EB0BFC">
      <w:pPr>
        <w:pStyle w:val="a3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</w:pPr>
    </w:p>
    <w:p w:rsidR="00EB0BFC" w:rsidRDefault="00EB0BFC" w:rsidP="00EB0BF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ПРОЕКТ</w:t>
      </w:r>
    </w:p>
    <w:p w:rsidR="00EB0BFC" w:rsidRDefault="00EB0BFC" w:rsidP="00EB0B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</w:p>
    <w:p w:rsidR="00EB0BFC" w:rsidRPr="00EB0BFC" w:rsidRDefault="00EB0BFC" w:rsidP="00EB0B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B0BFC">
        <w:rPr>
          <w:rFonts w:ascii="Times New Roman" w:hAnsi="Times New Roman" w:cs="Times New Roman"/>
          <w:sz w:val="24"/>
          <w:szCs w:val="24"/>
          <w:lang w:val="ru-RU"/>
        </w:rPr>
        <w:t>использо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вания открытых онлайн курсов в </w:t>
      </w:r>
      <w:r w:rsidRPr="00EB0BFC">
        <w:rPr>
          <w:rFonts w:ascii="Times New Roman" w:hAnsi="Times New Roman" w:cs="Times New Roman"/>
          <w:sz w:val="24"/>
          <w:szCs w:val="24"/>
          <w:lang w:val="ru-RU"/>
        </w:rPr>
        <w:t xml:space="preserve">ФГАОУ ВО «Уральский федеральный университет имени первого Президента России </w:t>
      </w:r>
      <w:proofErr w:type="spellStart"/>
      <w:r w:rsidRPr="00EB0BFC">
        <w:rPr>
          <w:rFonts w:ascii="Times New Roman" w:hAnsi="Times New Roman" w:cs="Times New Roman"/>
          <w:sz w:val="24"/>
          <w:szCs w:val="24"/>
          <w:lang w:val="ru-RU"/>
        </w:rPr>
        <w:t>Б.Н.Ельцина</w:t>
      </w:r>
      <w:proofErr w:type="spellEnd"/>
      <w:r w:rsidRPr="00EB0BFC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EB0BFC" w:rsidRDefault="00EB0BFC" w:rsidP="005A322D">
      <w:pPr>
        <w:pStyle w:val="a5"/>
        <w:ind w:firstLine="708"/>
        <w:jc w:val="both"/>
      </w:pPr>
    </w:p>
    <w:p w:rsidR="005A322D" w:rsidRDefault="00EB0BFC" w:rsidP="005A322D">
      <w:pPr>
        <w:pStyle w:val="a5"/>
        <w:ind w:firstLine="708"/>
        <w:jc w:val="both"/>
      </w:pPr>
      <w:r>
        <w:t>Р</w:t>
      </w:r>
      <w:r w:rsidR="00387652" w:rsidRPr="00387652">
        <w:t xml:space="preserve">егламент </w:t>
      </w:r>
      <w:r w:rsidR="005A322D">
        <w:t>использования открытых</w:t>
      </w:r>
      <w:r w:rsidR="005A322D" w:rsidRPr="009E00EF">
        <w:t xml:space="preserve"> онлайн курсов</w:t>
      </w:r>
      <w:r>
        <w:t xml:space="preserve"> в</w:t>
      </w:r>
      <w:r w:rsidR="005A322D">
        <w:t xml:space="preserve"> </w:t>
      </w:r>
      <w:r w:rsidR="005A322D" w:rsidRPr="005A322D">
        <w:t xml:space="preserve">ФГАОУ ВО </w:t>
      </w:r>
      <w:r>
        <w:t xml:space="preserve">«Уральский федеральный университет имени первого Президента России </w:t>
      </w:r>
      <w:proofErr w:type="spellStart"/>
      <w:r>
        <w:t>Б.Н.Ельцина</w:t>
      </w:r>
      <w:proofErr w:type="spellEnd"/>
      <w:r>
        <w:t>»</w:t>
      </w:r>
      <w:r w:rsidR="005A322D">
        <w:t xml:space="preserve"> </w:t>
      </w:r>
      <w:r w:rsidR="00387652">
        <w:t xml:space="preserve">(далее </w:t>
      </w:r>
      <w:r>
        <w:t xml:space="preserve">- </w:t>
      </w:r>
      <w:r w:rsidR="00387652" w:rsidRPr="00387652">
        <w:t xml:space="preserve">регламент) </w:t>
      </w:r>
      <w:r w:rsidR="00ED5E32">
        <w:t>определяет порядок</w:t>
      </w:r>
      <w:r w:rsidR="00387652" w:rsidRPr="00387652">
        <w:t xml:space="preserve"> организации учебного процесса по программам высшего образования </w:t>
      </w:r>
      <w:r w:rsidR="00ED5E32">
        <w:t xml:space="preserve">с применением электронного обучения с использованием онлайн-курсов </w:t>
      </w:r>
      <w:r w:rsidR="00387652" w:rsidRPr="00387652">
        <w:t>и распространяется на все институты УрФУ.</w:t>
      </w:r>
    </w:p>
    <w:p w:rsidR="00DD2691" w:rsidRDefault="00DD2691" w:rsidP="001F7690">
      <w:pPr>
        <w:pStyle w:val="a5"/>
        <w:ind w:firstLine="0"/>
        <w:jc w:val="both"/>
      </w:pPr>
    </w:p>
    <w:p w:rsidR="002D1A5D" w:rsidRPr="00DD2691" w:rsidRDefault="00ED5E32" w:rsidP="00EF01A5">
      <w:pPr>
        <w:pStyle w:val="a3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</w:pPr>
      <w:bookmarkStart w:id="1" w:name="_Toc440991144"/>
      <w:r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>Цели</w:t>
      </w:r>
      <w:r w:rsidR="002D1A5D" w:rsidRPr="00DD2691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 xml:space="preserve"> использованию онлайн курсов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 xml:space="preserve"> </w:t>
      </w:r>
      <w:r w:rsidR="002D1A5D" w:rsidRPr="00DD2691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>в основных образовательных программах</w:t>
      </w:r>
      <w:bookmarkEnd w:id="1"/>
    </w:p>
    <w:p w:rsidR="002D1A5D" w:rsidRPr="006E317D" w:rsidRDefault="002D1A5D" w:rsidP="002D1A5D">
      <w:pPr>
        <w:pStyle w:val="a5"/>
        <w:ind w:firstLine="567"/>
        <w:jc w:val="both"/>
      </w:pPr>
      <w:r w:rsidRPr="006E317D">
        <w:t xml:space="preserve">Использование онлайн курсов </w:t>
      </w:r>
      <w:r w:rsidR="00ED5E32">
        <w:t>при реализации основных образовательных программ осуществляется с целью</w:t>
      </w:r>
      <w:r w:rsidRPr="006E317D">
        <w:t xml:space="preserve"> решения следующих задач:</w:t>
      </w:r>
    </w:p>
    <w:p w:rsidR="002D1A5D" w:rsidRPr="006E317D" w:rsidRDefault="002D1A5D" w:rsidP="002D1A5D">
      <w:pPr>
        <w:pStyle w:val="a5"/>
        <w:numPr>
          <w:ilvl w:val="0"/>
          <w:numId w:val="2"/>
        </w:numPr>
        <w:jc w:val="both"/>
      </w:pPr>
      <w:r w:rsidRPr="006E317D">
        <w:t>расширение образовательных возможностей, предлагаемых университетом студентам, повышение степени индивидуализации обучения;</w:t>
      </w:r>
    </w:p>
    <w:p w:rsidR="00E514BC" w:rsidRDefault="002D1A5D" w:rsidP="00E514BC">
      <w:pPr>
        <w:pStyle w:val="a5"/>
        <w:numPr>
          <w:ilvl w:val="0"/>
          <w:numId w:val="2"/>
        </w:numPr>
        <w:jc w:val="both"/>
      </w:pPr>
      <w:r w:rsidRPr="006E317D">
        <w:t>сокращение контактной нагрузки студентов, повышение гибкости планирования учебного процесса и мотивации студентов к самообучению;</w:t>
      </w:r>
    </w:p>
    <w:p w:rsidR="002D1A5D" w:rsidRPr="00E514BC" w:rsidRDefault="002D1A5D" w:rsidP="00E514BC">
      <w:pPr>
        <w:pStyle w:val="a5"/>
        <w:numPr>
          <w:ilvl w:val="0"/>
          <w:numId w:val="2"/>
        </w:numPr>
        <w:jc w:val="both"/>
      </w:pPr>
      <w:r w:rsidRPr="00E514BC">
        <w:t>высвобождение востребованных кадровых ресурсов или восполнение недостающих ресурсов;</w:t>
      </w:r>
    </w:p>
    <w:p w:rsidR="002D1A5D" w:rsidRDefault="002D1A5D" w:rsidP="002D1A5D">
      <w:pPr>
        <w:pStyle w:val="a5"/>
        <w:numPr>
          <w:ilvl w:val="0"/>
          <w:numId w:val="2"/>
        </w:numPr>
        <w:jc w:val="both"/>
      </w:pPr>
      <w:r w:rsidRPr="006E317D">
        <w:t>сокращение затрат на реализацию образовательных программ в части традиционных, малоэффективных форм взаимодействия со студентами;</w:t>
      </w:r>
    </w:p>
    <w:p w:rsidR="00FB4040" w:rsidRPr="006E317D" w:rsidRDefault="00FB4040" w:rsidP="002D1A5D">
      <w:pPr>
        <w:pStyle w:val="a5"/>
        <w:numPr>
          <w:ilvl w:val="0"/>
          <w:numId w:val="2"/>
        </w:numPr>
        <w:jc w:val="both"/>
      </w:pPr>
      <w:r>
        <w:t>высвобождение ресурсов для новых, проектных форм обучения;</w:t>
      </w:r>
    </w:p>
    <w:p w:rsidR="002D1A5D" w:rsidRPr="006E317D" w:rsidRDefault="002D1A5D" w:rsidP="002D1A5D">
      <w:pPr>
        <w:pStyle w:val="a5"/>
        <w:numPr>
          <w:ilvl w:val="0"/>
          <w:numId w:val="2"/>
        </w:numPr>
        <w:jc w:val="both"/>
      </w:pPr>
      <w:r w:rsidRPr="006E317D">
        <w:t>высвобождение аудиторного фонда и экономия материально-технических ресурсов;</w:t>
      </w:r>
    </w:p>
    <w:p w:rsidR="002D1A5D" w:rsidRPr="006E317D" w:rsidRDefault="002D1A5D" w:rsidP="002D1A5D">
      <w:pPr>
        <w:pStyle w:val="a5"/>
        <w:numPr>
          <w:ilvl w:val="0"/>
          <w:numId w:val="2"/>
        </w:numPr>
        <w:jc w:val="both"/>
      </w:pPr>
      <w:r w:rsidRPr="006E317D">
        <w:t xml:space="preserve">повышение качества обучения за счет использования </w:t>
      </w:r>
      <w:proofErr w:type="gramStart"/>
      <w:r w:rsidRPr="006E317D">
        <w:t>эффективных</w:t>
      </w:r>
      <w:r w:rsidR="00ED5E32">
        <w:t xml:space="preserve"> </w:t>
      </w:r>
      <w:r w:rsidRPr="006E317D">
        <w:t>онлайн курсов</w:t>
      </w:r>
      <w:proofErr w:type="gramEnd"/>
      <w:r w:rsidRPr="006E317D">
        <w:t xml:space="preserve"> ведущих российских и международных преподавателей и экспертов и проведения независимого контроля знаний студентов;</w:t>
      </w:r>
    </w:p>
    <w:p w:rsidR="002D1A5D" w:rsidRDefault="002D1A5D" w:rsidP="002D1A5D">
      <w:pPr>
        <w:pStyle w:val="a5"/>
        <w:numPr>
          <w:ilvl w:val="0"/>
          <w:numId w:val="2"/>
        </w:numPr>
        <w:jc w:val="both"/>
      </w:pPr>
      <w:r w:rsidRPr="006E317D">
        <w:t>обеспечение ритмичности обучения, вовлеченности обучающихся в течение всего периода изучения курса за счет строгой системы еженедельных контрольных заданий;</w:t>
      </w:r>
    </w:p>
    <w:p w:rsidR="00FB4040" w:rsidRPr="006E317D" w:rsidRDefault="00FB4040" w:rsidP="002D1A5D">
      <w:pPr>
        <w:pStyle w:val="a5"/>
        <w:numPr>
          <w:ilvl w:val="0"/>
          <w:numId w:val="2"/>
        </w:numPr>
        <w:jc w:val="both"/>
      </w:pPr>
      <w:r>
        <w:t xml:space="preserve">обеспечение формирования </w:t>
      </w:r>
      <w:proofErr w:type="gramStart"/>
      <w:r>
        <w:t>новых</w:t>
      </w:r>
      <w:r w:rsidR="00ED5E32">
        <w:t xml:space="preserve"> </w:t>
      </w:r>
      <w:r>
        <w:t>компетенций</w:t>
      </w:r>
      <w:proofErr w:type="gramEnd"/>
      <w:r>
        <w:t xml:space="preserve"> обучающихся за счет владения новыми технологиями обучения;</w:t>
      </w:r>
    </w:p>
    <w:p w:rsidR="002D1A5D" w:rsidRPr="006E317D" w:rsidRDefault="002D1A5D" w:rsidP="002D1A5D">
      <w:pPr>
        <w:pStyle w:val="a5"/>
        <w:numPr>
          <w:ilvl w:val="0"/>
          <w:numId w:val="2"/>
        </w:numPr>
        <w:jc w:val="both"/>
      </w:pPr>
      <w:r w:rsidRPr="006E317D">
        <w:t>обеспечение прозрачности содержания обучения и, как следствие, повышение доверия к результатам обучения.</w:t>
      </w:r>
    </w:p>
    <w:p w:rsidR="002D1A5D" w:rsidRDefault="002D1A5D" w:rsidP="001F7690">
      <w:pPr>
        <w:pStyle w:val="a5"/>
        <w:ind w:firstLine="0"/>
        <w:jc w:val="both"/>
      </w:pPr>
    </w:p>
    <w:p w:rsidR="00B66DA5" w:rsidRDefault="002D1A5D" w:rsidP="00B66DA5">
      <w:pPr>
        <w:pStyle w:val="a3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</w:pPr>
      <w:r w:rsidRPr="00B66DA5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>Модели использования открытых онлайн курсов</w:t>
      </w:r>
    </w:p>
    <w:p w:rsidR="002D1A5D" w:rsidRDefault="002D1A5D" w:rsidP="00B66DA5">
      <w:pPr>
        <w:pStyle w:val="a3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</w:pPr>
      <w:r w:rsidRPr="00B66DA5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 xml:space="preserve"> в образовательных программах УрФУ</w:t>
      </w:r>
    </w:p>
    <w:p w:rsidR="00E63AEF" w:rsidRDefault="002D1A5D" w:rsidP="001F7690">
      <w:pPr>
        <w:pStyle w:val="a5"/>
        <w:ind w:firstLine="0"/>
        <w:jc w:val="both"/>
      </w:pPr>
      <w:r>
        <w:t>Модель 1.</w:t>
      </w:r>
      <w:r w:rsidR="009C7C12">
        <w:t xml:space="preserve"> </w:t>
      </w:r>
      <w:r w:rsidR="00E63AEF">
        <w:t>Эквивал</w:t>
      </w:r>
      <w:r w:rsidR="006066E7">
        <w:t xml:space="preserve">ентная нагрузка при реализации дисциплины </w:t>
      </w:r>
      <w:r w:rsidR="008E3244">
        <w:t xml:space="preserve">с применением </w:t>
      </w:r>
      <w:r w:rsidR="006066E7">
        <w:t>электронного</w:t>
      </w:r>
      <w:r w:rsidR="008E3244">
        <w:t xml:space="preserve"> обучения.</w:t>
      </w:r>
    </w:p>
    <w:p w:rsidR="00A61043" w:rsidRDefault="009C7C12" w:rsidP="00ED5E32">
      <w:pPr>
        <w:pStyle w:val="a5"/>
        <w:ind w:firstLine="0"/>
        <w:jc w:val="both"/>
        <w:rPr>
          <w:szCs w:val="24"/>
        </w:rPr>
      </w:pPr>
      <w:r w:rsidRPr="005B6139">
        <w:rPr>
          <w:szCs w:val="24"/>
        </w:rPr>
        <w:t>Институт 1 заказывает Институту 2 реализацию дисциплины</w:t>
      </w:r>
      <w:r>
        <w:rPr>
          <w:szCs w:val="24"/>
        </w:rPr>
        <w:t>. Согласно «</w:t>
      </w:r>
      <w:r w:rsidR="00ED5E32" w:rsidRPr="00ED5E32">
        <w:rPr>
          <w:szCs w:val="24"/>
        </w:rPr>
        <w:t>Положение об организации образовательного процесса с применением электронного обучения, дистанционных образовательных технологий</w:t>
      </w:r>
      <w:r w:rsidR="00ED5E32">
        <w:rPr>
          <w:szCs w:val="24"/>
        </w:rPr>
        <w:t>» (</w:t>
      </w:r>
      <w:r w:rsidR="00ED5E32" w:rsidRPr="00ED5E32">
        <w:rPr>
          <w:szCs w:val="24"/>
        </w:rPr>
        <w:t>СМК-ПВД-7-01-52-2015</w:t>
      </w:r>
      <w:r w:rsidR="00ED5E32">
        <w:rPr>
          <w:szCs w:val="24"/>
        </w:rPr>
        <w:t xml:space="preserve">) </w:t>
      </w:r>
      <w:r w:rsidR="00A61043">
        <w:rPr>
          <w:szCs w:val="24"/>
        </w:rPr>
        <w:t xml:space="preserve">преподаватель/кафедра вправе выбирать технологию реализации дисциплины: традиционно или с применением </w:t>
      </w:r>
      <w:r w:rsidR="00E63AEF">
        <w:rPr>
          <w:szCs w:val="24"/>
        </w:rPr>
        <w:t>онлайн курсов</w:t>
      </w:r>
      <w:r w:rsidR="00A61043">
        <w:rPr>
          <w:szCs w:val="24"/>
        </w:rPr>
        <w:t>.</w:t>
      </w:r>
      <w:r w:rsidR="00E63AEF">
        <w:rPr>
          <w:szCs w:val="24"/>
        </w:rPr>
        <w:t xml:space="preserve"> Для реализации дисциплины с использованием онлайн курса обязательным является получение статуса курса «рекомендован к использованию в учебном процессе»</w:t>
      </w:r>
      <w:r w:rsidR="00ED5E32">
        <w:rPr>
          <w:szCs w:val="24"/>
        </w:rPr>
        <w:t>, присваиваемого комиссией Методического совета УрФУ.</w:t>
      </w:r>
    </w:p>
    <w:p w:rsidR="00983B1E" w:rsidRDefault="00983B1E" w:rsidP="001F7690">
      <w:pPr>
        <w:pStyle w:val="a5"/>
        <w:ind w:firstLine="0"/>
        <w:jc w:val="both"/>
        <w:rPr>
          <w:szCs w:val="24"/>
        </w:rPr>
      </w:pPr>
    </w:p>
    <w:p w:rsidR="003F0A01" w:rsidRDefault="009C7C12" w:rsidP="001F7690">
      <w:pPr>
        <w:pStyle w:val="a5"/>
        <w:ind w:firstLine="0"/>
        <w:jc w:val="both"/>
      </w:pPr>
      <w:r>
        <w:t xml:space="preserve">Модель 2. </w:t>
      </w:r>
      <w:r w:rsidR="006066E7">
        <w:t>Заказ нагрузки с использованием онлайн-курса</w:t>
      </w:r>
    </w:p>
    <w:p w:rsidR="00330790" w:rsidRDefault="009C7C12" w:rsidP="00D16E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Два института внутри УрФУ. </w:t>
      </w:r>
      <w:r w:rsidR="00330790" w:rsidRPr="005B6139">
        <w:rPr>
          <w:rFonts w:ascii="Times New Roman" w:hAnsi="Times New Roman" w:cs="Times New Roman"/>
          <w:sz w:val="24"/>
          <w:szCs w:val="24"/>
          <w:lang w:val="ru-RU"/>
        </w:rPr>
        <w:t xml:space="preserve">Институт 1 заказывает Институту 2 реализацию </w:t>
      </w:r>
      <w:r w:rsidR="006066E7">
        <w:rPr>
          <w:rFonts w:ascii="Times New Roman" w:hAnsi="Times New Roman" w:cs="Times New Roman"/>
          <w:sz w:val="24"/>
          <w:szCs w:val="24"/>
          <w:lang w:val="ru-RU"/>
        </w:rPr>
        <w:t>дисциплины с применением онлайн-</w:t>
      </w:r>
      <w:r w:rsidR="00330790" w:rsidRPr="005B6139">
        <w:rPr>
          <w:rFonts w:ascii="Times New Roman" w:hAnsi="Times New Roman" w:cs="Times New Roman"/>
          <w:sz w:val="24"/>
          <w:szCs w:val="24"/>
          <w:lang w:val="ru-RU"/>
        </w:rPr>
        <w:t xml:space="preserve">курса. При расчете суммы взаимозачета между институтами к </w:t>
      </w:r>
      <w:proofErr w:type="spellStart"/>
      <w:r w:rsidR="00330790" w:rsidRPr="005B6139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студентокредитам</w:t>
      </w:r>
      <w:proofErr w:type="spellEnd"/>
      <w:r w:rsidR="00330790" w:rsidRPr="005B6139">
        <w:rPr>
          <w:rFonts w:ascii="Times New Roman" w:hAnsi="Times New Roman" w:cs="Times New Roman"/>
          <w:sz w:val="24"/>
          <w:szCs w:val="24"/>
          <w:lang w:val="ru-RU"/>
        </w:rPr>
        <w:t xml:space="preserve"> по дисциплине, реализуемой с применением онлайн курса, применяется понижающий коэффициент 0,75. Для института 1, заказывающего нагрузку, </w:t>
      </w:r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объем средств, которые сэкономлены за счет применения он</w:t>
      </w:r>
      <w:r w:rsid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лайн курсов, составит (1-0,</w:t>
      </w:r>
      <w:proofErr w:type="gramStart"/>
      <w:r w:rsid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75)*</w:t>
      </w:r>
      <w:proofErr w:type="gramEnd"/>
      <w:r w:rsid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зачетных единиц</w:t>
      </w:r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*</w:t>
      </w:r>
      <w:r w:rsid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студентов</w:t>
      </w:r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*[стоимость </w:t>
      </w:r>
      <w:proofErr w:type="spellStart"/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студентокредита</w:t>
      </w:r>
      <w:proofErr w:type="spellEnd"/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Института 2]. При этом институту 2 будет установлен лимит ставок исходя из расчета нагрузки в объеме до 50% от нагрузки в случае традиционной реализации дисциплины</w:t>
      </w:r>
      <w:r w:rsidR="003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proofErr w:type="gramStart"/>
      <w:r w:rsidR="003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т.е</w:t>
      </w:r>
      <w:proofErr w:type="spellEnd"/>
      <w:r w:rsidR="003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на</w:t>
      </w:r>
      <w:proofErr w:type="gramEnd"/>
      <w:r w:rsidR="003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покрытие нагрузки по онлайн курсам направляется </w:t>
      </w:r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1-</w:t>
      </w:r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0,5)*</w:t>
      </w:r>
      <w:r w:rsidR="008E3244" w:rsidRP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зачетных единиц</w:t>
      </w:r>
      <w:r w:rsidR="008E3244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*</w:t>
      </w:r>
      <w:r w:rsid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студентов</w:t>
      </w:r>
      <w:r w:rsidR="008E3244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*[стоимость </w:t>
      </w:r>
      <w:proofErr w:type="spellStart"/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студентокредита</w:t>
      </w:r>
      <w:proofErr w:type="spellEnd"/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Института 2]</w:t>
      </w:r>
      <w:r w:rsidR="003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. А </w:t>
      </w:r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объем средств, которые сэкономлены за счет применения онлайн курсов</w:t>
      </w:r>
      <w:r w:rsidR="00330790" w:rsidRPr="00CF38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для </w:t>
      </w:r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Института 2 составит (0,75-0,</w:t>
      </w:r>
      <w:proofErr w:type="gramStart"/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5)*</w:t>
      </w:r>
      <w:proofErr w:type="gramEnd"/>
      <w:r w:rsidR="008E3244" w:rsidRP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зачетных единиц</w:t>
      </w:r>
      <w:r w:rsidR="008E3244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*</w:t>
      </w:r>
      <w:r w:rsidR="008E3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студентов</w:t>
      </w:r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*[стоимость </w:t>
      </w:r>
      <w:proofErr w:type="spellStart"/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студентокредита</w:t>
      </w:r>
      <w:proofErr w:type="spellEnd"/>
      <w:r w:rsidR="00330790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Института 2].</w:t>
      </w:r>
      <w:r w:rsidR="003307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35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Средства от экономии остаются на лицевых счетах Институтов 1 и 2.  </w:t>
      </w:r>
      <w:r w:rsidR="003D2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При реализации данной модели приоритетность нагрузки по онлайн курсам закрепляется за членами авторского коллектива. Оплата данного вида нагрузки может осуществляться как в виде доли ставки, так и в виде почасовой оплаты труда.</w:t>
      </w:r>
      <w:r w:rsidR="006B35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983B1E" w:rsidRDefault="00983B1E" w:rsidP="00D16E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B7F69" w:rsidRPr="005B6139" w:rsidRDefault="004B7F69" w:rsidP="00D16E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Модель 3. Нагрузка стороннему университету-партнеру</w:t>
      </w:r>
      <w:r w:rsidR="00606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реализации с использованием онлайн-курса</w:t>
      </w:r>
    </w:p>
    <w:p w:rsidR="005353A3" w:rsidRDefault="00330790" w:rsidP="00D16EF9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</w:pPr>
      <w:r w:rsidRPr="005B6139">
        <w:rPr>
          <w:rFonts w:ascii="Times New Roman" w:hAnsi="Times New Roman" w:cs="Times New Roman"/>
          <w:sz w:val="24"/>
          <w:szCs w:val="24"/>
          <w:lang w:val="ru-RU"/>
        </w:rPr>
        <w:t>Институт 1 реализует дисциплину</w:t>
      </w:r>
      <w:r w:rsidR="004B7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6139">
        <w:rPr>
          <w:rFonts w:ascii="Times New Roman" w:hAnsi="Times New Roman" w:cs="Times New Roman"/>
          <w:sz w:val="24"/>
          <w:szCs w:val="24"/>
          <w:lang w:val="ru-RU"/>
        </w:rPr>
        <w:t xml:space="preserve">с применением онлайн курса через сетевой договор с другим университетом. </w:t>
      </w:r>
      <w:r w:rsidRPr="005B61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 расчет лимита ставок для </w:t>
      </w:r>
      <w:r w:rsidRPr="005B613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>Института 1 передача ответственности за реализацию онлайн курса в другой университет влиять не будет.</w:t>
      </w:r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Стоимость реализации дисциплин</w:t>
      </w:r>
      <w:r w:rsidR="00204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ы</w:t>
      </w:r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будет определяться договором о сетевой форме реализации образовательной программы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 университетом-партнером</w:t>
      </w:r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может составлять, например, 1000 рублей за обучение 1 студента. В этом случае, для Института 1 объем средств, которые сэкономлены за счет применения онлайн курсов, составит (1*</w:t>
      </w:r>
      <w:r w:rsidR="006066E7" w:rsidRPr="00606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[</w:t>
      </w:r>
      <w:r w:rsidR="00204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зачетных единиц</w:t>
      </w:r>
      <w:r w:rsidR="006066E7" w:rsidRPr="006066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]</w:t>
      </w:r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*[стоимость </w:t>
      </w:r>
      <w:proofErr w:type="spellStart"/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студентокредита</w:t>
      </w:r>
      <w:proofErr w:type="spellEnd"/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Института 1]-</w:t>
      </w:r>
      <w:proofErr w:type="gramStart"/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1000)*</w:t>
      </w:r>
      <w:proofErr w:type="gramEnd"/>
      <w:r w:rsidR="00204B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студентов</w:t>
      </w:r>
      <w:r w:rsidR="00535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Средства от экономии остаются на лицевом счете Института 1.  Данная модель применима в случае реализации дисциплин/майноров сторонним университетом-партнером.</w:t>
      </w:r>
      <w:r w:rsidRPr="00EF2C5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983B1E" w:rsidRPr="00983B1E" w:rsidRDefault="00983B1E" w:rsidP="00D16EF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D16EF9" w:rsidRPr="006066E7" w:rsidRDefault="00D16EF9" w:rsidP="00D16EF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Модель 4</w:t>
      </w:r>
      <w:r w:rsidR="00330790" w:rsidRPr="005B613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66E7">
        <w:rPr>
          <w:rFonts w:ascii="Times New Roman" w:hAnsi="Times New Roman" w:cs="Times New Roman"/>
          <w:sz w:val="24"/>
          <w:szCs w:val="24"/>
          <w:lang w:val="ru-RU"/>
        </w:rPr>
        <w:t>Использование онлайн-курса при реализации дисциплины в институте</w:t>
      </w:r>
    </w:p>
    <w:p w:rsidR="00330790" w:rsidRDefault="00330790" w:rsidP="000B3EC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5B6139">
        <w:rPr>
          <w:rFonts w:ascii="Times New Roman" w:hAnsi="Times New Roman" w:cs="Times New Roman"/>
          <w:sz w:val="24"/>
          <w:szCs w:val="24"/>
          <w:lang w:val="ru-RU"/>
        </w:rPr>
        <w:t xml:space="preserve">Институт 1 самостоятельно реализует дисциплину с применением онлайн курса для </w:t>
      </w:r>
      <w:r w:rsidR="007436BF">
        <w:rPr>
          <w:rFonts w:ascii="Times New Roman" w:hAnsi="Times New Roman" w:cs="Times New Roman"/>
          <w:sz w:val="24"/>
          <w:szCs w:val="24"/>
          <w:lang w:val="ru-RU"/>
        </w:rPr>
        <w:t>своих</w:t>
      </w:r>
      <w:r w:rsidRPr="005B6139">
        <w:rPr>
          <w:rFonts w:ascii="Times New Roman" w:hAnsi="Times New Roman" w:cs="Times New Roman"/>
          <w:sz w:val="24"/>
          <w:szCs w:val="24"/>
          <w:lang w:val="ru-RU"/>
        </w:rPr>
        <w:t xml:space="preserve"> студентов. </w:t>
      </w:r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Институту 1 будет установлен лимит ставок исходя из расчета нагрузки в объеме до 50% от нагрузки в случае традиционной реализации дисциплины. Для Института 1 объем средств, которые сэкономлены за счет применения онлайн курсов, составит (1-0,</w:t>
      </w:r>
      <w:proofErr w:type="gramStart"/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5)*</w:t>
      </w:r>
      <w:proofErr w:type="gramEnd"/>
      <w:r w:rsidR="007436BF" w:rsidRPr="0074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74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зачетных единиц</w:t>
      </w:r>
      <w:r w:rsidR="007436BF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*</w:t>
      </w:r>
      <w:r w:rsidR="007436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количество студентов</w:t>
      </w:r>
      <w:r w:rsidR="007436BF"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*[стоимость </w:t>
      </w:r>
      <w:proofErr w:type="spellStart"/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студентокредита</w:t>
      </w:r>
      <w:proofErr w:type="spellEnd"/>
      <w:r w:rsidRPr="005B61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для Института 1].</w:t>
      </w:r>
    </w:p>
    <w:p w:rsidR="00FA6B95" w:rsidRPr="005B6139" w:rsidRDefault="00FA6B95" w:rsidP="000B3E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0209" w:rsidRDefault="006066E7" w:rsidP="000B3ECA">
      <w:pPr>
        <w:pStyle w:val="a3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>Особенности</w:t>
      </w:r>
      <w:r w:rsidR="00900209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 xml:space="preserve"> расчет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>а</w:t>
      </w:r>
      <w:r w:rsidR="00900209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 xml:space="preserve"> нагрузки при </w:t>
      </w:r>
      <w:r w:rsidR="00900209" w:rsidRPr="00B66DA5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>использования открытых</w:t>
      </w:r>
    </w:p>
    <w:p w:rsidR="009B4905" w:rsidRPr="00900209" w:rsidRDefault="00900209" w:rsidP="000B3ECA">
      <w:pPr>
        <w:pStyle w:val="a3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</w:pPr>
      <w:r w:rsidRPr="00B66DA5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>онлайн курсов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 xml:space="preserve"> </w:t>
      </w:r>
      <w:r w:rsidRPr="00900209">
        <w:rPr>
          <w:rFonts w:ascii="Times New Roman" w:eastAsia="Times New Roman" w:hAnsi="Times New Roman" w:cs="Times New Roman"/>
          <w:b/>
          <w:color w:val="auto"/>
          <w:sz w:val="24"/>
          <w:szCs w:val="20"/>
          <w:lang w:val="ru-RU" w:eastAsia="ru-RU"/>
        </w:rPr>
        <w:t>в образовательных программах</w:t>
      </w:r>
    </w:p>
    <w:p w:rsidR="00A452BE" w:rsidRPr="003D563A" w:rsidRDefault="006066E7" w:rsidP="00A452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Вводится</w:t>
      </w:r>
      <w:r w:rsidR="0032522C">
        <w:rPr>
          <w:rFonts w:ascii="Times New Roman" w:hAnsi="Times New Roman" w:cs="Times New Roman"/>
          <w:sz w:val="24"/>
          <w:szCs w:val="24"/>
          <w:lang w:val="ru-RU"/>
        </w:rPr>
        <w:t xml:space="preserve"> коэффициент при расчете нагрузки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«Технология обучения»</w:t>
      </w:r>
      <w:r w:rsidR="0032522C">
        <w:rPr>
          <w:rFonts w:ascii="Times New Roman" w:hAnsi="Times New Roman" w:cs="Times New Roman"/>
          <w:sz w:val="24"/>
          <w:szCs w:val="24"/>
          <w:lang w:val="ru-RU"/>
        </w:rPr>
        <w:t xml:space="preserve">. При традиционной технологии коэффициент принимает значение 1,0, при использовании онлайн обучения коэффициент нагрузки вводится на уровне 0,5. </w:t>
      </w:r>
      <w:r w:rsidR="00836560">
        <w:rPr>
          <w:rFonts w:ascii="Times New Roman" w:hAnsi="Times New Roman" w:cs="Times New Roman"/>
          <w:sz w:val="24"/>
          <w:szCs w:val="24"/>
          <w:lang w:val="ru-RU"/>
        </w:rPr>
        <w:t>Данный коэффициент применяется как к модулям/дисц</w:t>
      </w:r>
      <w:r w:rsidR="00A452BE">
        <w:rPr>
          <w:rFonts w:ascii="Times New Roman" w:hAnsi="Times New Roman" w:cs="Times New Roman"/>
          <w:sz w:val="24"/>
          <w:szCs w:val="24"/>
          <w:lang w:val="ru-RU"/>
        </w:rPr>
        <w:t xml:space="preserve">иплинам, так и к </w:t>
      </w:r>
      <w:proofErr w:type="spellStart"/>
      <w:r w:rsidR="00A452BE">
        <w:rPr>
          <w:rFonts w:ascii="Times New Roman" w:hAnsi="Times New Roman" w:cs="Times New Roman"/>
          <w:sz w:val="24"/>
          <w:szCs w:val="24"/>
          <w:lang w:val="ru-RU"/>
        </w:rPr>
        <w:t>майнорам</w:t>
      </w:r>
      <w:proofErr w:type="spellEnd"/>
      <w:r w:rsidR="00A452BE">
        <w:rPr>
          <w:rFonts w:ascii="Times New Roman" w:hAnsi="Times New Roman" w:cs="Times New Roman"/>
          <w:sz w:val="24"/>
          <w:szCs w:val="24"/>
          <w:lang w:val="ru-RU"/>
        </w:rPr>
        <w:t xml:space="preserve"> в ОП, и используется при корректировке лимитов ставок по институтам. Таким образом, при заказе нагрузки с использованием онлайн-курсов от Института 1 к Институту 2 корректировка лимита ставок (у Института 1 в сторону уменьшения, у Института 2 – в сторону увеличения) осуществляется в объеме в 2 раза меньше, чем при использовании традиционной технологии.</w:t>
      </w:r>
    </w:p>
    <w:p w:rsidR="00183367" w:rsidRPr="003D563A" w:rsidRDefault="00183367" w:rsidP="000513A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83367" w:rsidRPr="003D563A" w:rsidSect="009E00E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C4"/>
    <w:multiLevelType w:val="hybridMultilevel"/>
    <w:tmpl w:val="3D0C7D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5D7F53"/>
    <w:multiLevelType w:val="hybridMultilevel"/>
    <w:tmpl w:val="F79EE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868E7"/>
    <w:multiLevelType w:val="hybridMultilevel"/>
    <w:tmpl w:val="12B4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42B98"/>
    <w:multiLevelType w:val="hybridMultilevel"/>
    <w:tmpl w:val="A244A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025B"/>
    <w:multiLevelType w:val="hybridMultilevel"/>
    <w:tmpl w:val="327AD87A"/>
    <w:lvl w:ilvl="0" w:tplc="4D669C2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3A"/>
    <w:rsid w:val="000513AC"/>
    <w:rsid w:val="000B3ECA"/>
    <w:rsid w:val="000D2A3A"/>
    <w:rsid w:val="000D43BD"/>
    <w:rsid w:val="00163592"/>
    <w:rsid w:val="00183367"/>
    <w:rsid w:val="001C5BB5"/>
    <w:rsid w:val="001F7690"/>
    <w:rsid w:val="00204B09"/>
    <w:rsid w:val="00216422"/>
    <w:rsid w:val="002D1A5D"/>
    <w:rsid w:val="002D427F"/>
    <w:rsid w:val="003243A3"/>
    <w:rsid w:val="0032522C"/>
    <w:rsid w:val="00330790"/>
    <w:rsid w:val="00383EE9"/>
    <w:rsid w:val="00387652"/>
    <w:rsid w:val="003D2E3E"/>
    <w:rsid w:val="003D563A"/>
    <w:rsid w:val="003F0A01"/>
    <w:rsid w:val="00473C23"/>
    <w:rsid w:val="0048563A"/>
    <w:rsid w:val="004939CC"/>
    <w:rsid w:val="004B7F69"/>
    <w:rsid w:val="004D7490"/>
    <w:rsid w:val="004E4F78"/>
    <w:rsid w:val="004F25B6"/>
    <w:rsid w:val="004F7C4E"/>
    <w:rsid w:val="00507653"/>
    <w:rsid w:val="005353A3"/>
    <w:rsid w:val="005A322D"/>
    <w:rsid w:val="006066E7"/>
    <w:rsid w:val="00625F5E"/>
    <w:rsid w:val="00673A5A"/>
    <w:rsid w:val="006B355F"/>
    <w:rsid w:val="007436BF"/>
    <w:rsid w:val="00764897"/>
    <w:rsid w:val="00836560"/>
    <w:rsid w:val="008E3244"/>
    <w:rsid w:val="00900209"/>
    <w:rsid w:val="00973E6F"/>
    <w:rsid w:val="00983B1E"/>
    <w:rsid w:val="009B4905"/>
    <w:rsid w:val="009C7C12"/>
    <w:rsid w:val="009E00EF"/>
    <w:rsid w:val="00A452BE"/>
    <w:rsid w:val="00A61043"/>
    <w:rsid w:val="00B1628A"/>
    <w:rsid w:val="00B66DA5"/>
    <w:rsid w:val="00BC09F3"/>
    <w:rsid w:val="00D16EF9"/>
    <w:rsid w:val="00D37141"/>
    <w:rsid w:val="00D94E03"/>
    <w:rsid w:val="00DB26BA"/>
    <w:rsid w:val="00DD2691"/>
    <w:rsid w:val="00E21298"/>
    <w:rsid w:val="00E514BC"/>
    <w:rsid w:val="00E63AEF"/>
    <w:rsid w:val="00EB0BFC"/>
    <w:rsid w:val="00ED5E32"/>
    <w:rsid w:val="00EE6FFF"/>
    <w:rsid w:val="00EF01A5"/>
    <w:rsid w:val="00FA6B95"/>
    <w:rsid w:val="00FB4040"/>
    <w:rsid w:val="00FB565E"/>
    <w:rsid w:val="00FD66FD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28E3B-D100-494E-B8C5-E8D47383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98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1298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1298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74B5" w:themeColor="accent1" w:themeShade="BF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298"/>
    <w:rPr>
      <w:rFonts w:ascii="Cambria" w:eastAsiaTheme="majorEastAsia" w:hAnsi="Cambria" w:cstheme="majorBidi"/>
      <w:color w:val="2E74B5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1298"/>
    <w:rPr>
      <w:rFonts w:ascii="Cambria" w:eastAsiaTheme="majorEastAsia" w:hAnsi="Cambria" w:cstheme="majorBidi"/>
      <w:color w:val="2E74B5" w:themeColor="accent1" w:themeShade="BF"/>
      <w:sz w:val="28"/>
      <w:szCs w:val="26"/>
      <w:lang w:val="en-US"/>
    </w:rPr>
  </w:style>
  <w:style w:type="paragraph" w:styleId="a3">
    <w:name w:val="TOC Heading"/>
    <w:basedOn w:val="1"/>
    <w:next w:val="a"/>
    <w:uiPriority w:val="39"/>
    <w:unhideWhenUsed/>
    <w:qFormat/>
    <w:rsid w:val="00E2129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2129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21298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E21298"/>
    <w:rPr>
      <w:color w:val="0563C1" w:themeColor="hyperlink"/>
      <w:u w:val="single"/>
    </w:rPr>
  </w:style>
  <w:style w:type="paragraph" w:customStyle="1" w:styleId="ConsPlusNormal">
    <w:name w:val="ConsPlusNormal"/>
    <w:rsid w:val="00E21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a5">
    <w:name w:val="List Paragraph"/>
    <w:basedOn w:val="a"/>
    <w:qFormat/>
    <w:rsid w:val="00E21298"/>
    <w:pPr>
      <w:spacing w:after="0" w:line="240" w:lineRule="auto"/>
      <w:ind w:firstLine="720"/>
      <w:contextualSpacing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table" w:styleId="a6">
    <w:name w:val="Table Grid"/>
    <w:basedOn w:val="a1"/>
    <w:uiPriority w:val="39"/>
    <w:rsid w:val="00E2129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36B4-9B32-43D5-98E6-F072BB73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vastweb@yandex.ru</cp:lastModifiedBy>
  <cp:revision>62</cp:revision>
  <dcterms:created xsi:type="dcterms:W3CDTF">2016-10-02T08:04:00Z</dcterms:created>
  <dcterms:modified xsi:type="dcterms:W3CDTF">2016-11-02T06:29:00Z</dcterms:modified>
</cp:coreProperties>
</file>