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1B" w:rsidRPr="005015D0" w:rsidRDefault="00631E1B" w:rsidP="005015D0">
      <w:pPr>
        <w:spacing w:before="100" w:beforeAutospacing="1" w:after="150" w:line="300" w:lineRule="atLeast"/>
        <w:jc w:val="right"/>
        <w:textAlignment w:val="baseline"/>
        <w:outlineLvl w:val="1"/>
        <w:rPr>
          <w:rFonts w:ascii="Arial" w:eastAsia="Times New Roman" w:hAnsi="Arial" w:cs="Arial"/>
          <w:b/>
          <w:bCs/>
          <w:kern w:val="36"/>
          <w:sz w:val="24"/>
          <w:szCs w:val="24"/>
          <w:lang w:eastAsia="ru-RU"/>
        </w:rPr>
      </w:pPr>
      <w:bookmarkStart w:id="0" w:name="_GoBack"/>
      <w:bookmarkEnd w:id="0"/>
      <w:r w:rsidRPr="005015D0">
        <w:rPr>
          <w:rFonts w:ascii="Arial" w:eastAsia="Times New Roman" w:hAnsi="Arial" w:cs="Arial"/>
          <w:b/>
          <w:bCs/>
          <w:kern w:val="36"/>
          <w:sz w:val="24"/>
          <w:szCs w:val="24"/>
          <w:lang w:eastAsia="ru-RU"/>
        </w:rPr>
        <w:t>Приложение</w:t>
      </w:r>
      <w:r w:rsidR="005015D0" w:rsidRPr="005015D0">
        <w:rPr>
          <w:rFonts w:ascii="Arial" w:eastAsia="Times New Roman" w:hAnsi="Arial" w:cs="Arial"/>
          <w:b/>
          <w:bCs/>
          <w:kern w:val="36"/>
          <w:sz w:val="24"/>
          <w:szCs w:val="24"/>
          <w:lang w:eastAsia="ru-RU"/>
        </w:rPr>
        <w:t xml:space="preserve"> </w:t>
      </w:r>
      <w:r w:rsidR="00FE4FC8">
        <w:rPr>
          <w:rFonts w:ascii="Arial" w:eastAsia="Times New Roman" w:hAnsi="Arial" w:cs="Arial"/>
          <w:b/>
          <w:bCs/>
          <w:kern w:val="36"/>
          <w:sz w:val="24"/>
          <w:szCs w:val="24"/>
          <w:lang w:eastAsia="ru-RU"/>
        </w:rPr>
        <w:t>2</w:t>
      </w:r>
    </w:p>
    <w:p w:rsidR="00631E1B" w:rsidRPr="005015D0" w:rsidRDefault="00631E1B" w:rsidP="00631E1B">
      <w:pPr>
        <w:spacing w:before="100" w:beforeAutospacing="1" w:after="150" w:line="300" w:lineRule="atLeast"/>
        <w:textAlignment w:val="baseline"/>
        <w:outlineLvl w:val="1"/>
        <w:rPr>
          <w:rFonts w:ascii="Arial" w:eastAsia="Times New Roman" w:hAnsi="Arial" w:cs="Arial"/>
          <w:b/>
          <w:bCs/>
          <w:kern w:val="36"/>
          <w:sz w:val="24"/>
          <w:szCs w:val="24"/>
          <w:lang w:eastAsia="ru-RU"/>
        </w:rPr>
      </w:pPr>
    </w:p>
    <w:p w:rsidR="00631E1B" w:rsidRPr="005015D0" w:rsidRDefault="00631E1B" w:rsidP="00631E1B">
      <w:pPr>
        <w:spacing w:before="100" w:beforeAutospacing="1" w:after="150" w:line="300" w:lineRule="atLeast"/>
        <w:textAlignment w:val="baseline"/>
        <w:outlineLvl w:val="1"/>
        <w:rPr>
          <w:rFonts w:ascii="Arial" w:eastAsia="Times New Roman" w:hAnsi="Arial" w:cs="Arial"/>
          <w:b/>
          <w:bCs/>
          <w:kern w:val="36"/>
          <w:sz w:val="24"/>
          <w:szCs w:val="24"/>
          <w:lang w:eastAsia="ru-RU"/>
        </w:rPr>
      </w:pPr>
      <w:r w:rsidRPr="005015D0">
        <w:rPr>
          <w:rFonts w:ascii="Arial" w:eastAsia="Times New Roman" w:hAnsi="Arial" w:cs="Arial"/>
          <w:b/>
          <w:bCs/>
          <w:kern w:val="36"/>
          <w:sz w:val="24"/>
          <w:szCs w:val="24"/>
          <w:lang w:eastAsia="ru-RU"/>
        </w:rPr>
        <w:t>Правила организации и проведения работ по научным проектам, поддержанным федеральным государственным бюджетным учреждением «Российский фонд фундаментальных исследований» от 29.01.2014</w:t>
      </w:r>
    </w:p>
    <w:p w:rsidR="00631E1B" w:rsidRPr="005015D0" w:rsidRDefault="00631E1B" w:rsidP="00631E1B">
      <w:pPr>
        <w:spacing w:before="100" w:beforeAutospacing="1" w:after="100" w:afterAutospacing="1" w:line="384" w:lineRule="auto"/>
        <w:jc w:val="right"/>
        <w:textAlignment w:val="baseline"/>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Утверждено </w:t>
      </w:r>
      <w:r w:rsidRPr="005015D0">
        <w:rPr>
          <w:rFonts w:ascii="Verdana" w:eastAsia="Times New Roman" w:hAnsi="Verdana" w:cs="Tahoma"/>
          <w:sz w:val="20"/>
          <w:szCs w:val="20"/>
          <w:lang w:eastAsia="ru-RU"/>
        </w:rPr>
        <w:br/>
        <w:t xml:space="preserve">Решением бюро Совета Фонда </w:t>
      </w:r>
      <w:r w:rsidRPr="005015D0">
        <w:rPr>
          <w:rFonts w:ascii="Verdana" w:eastAsia="Times New Roman" w:hAnsi="Verdana" w:cs="Tahoma"/>
          <w:sz w:val="20"/>
          <w:szCs w:val="20"/>
          <w:lang w:eastAsia="ru-RU"/>
        </w:rPr>
        <w:br/>
        <w:t xml:space="preserve">29 января 2014 года </w:t>
      </w:r>
    </w:p>
    <w:p w:rsidR="00631E1B" w:rsidRPr="005015D0" w:rsidRDefault="00631E1B" w:rsidP="00631E1B">
      <w:pPr>
        <w:spacing w:after="0" w:line="240" w:lineRule="auto"/>
        <w:textAlignment w:val="baseline"/>
        <w:rPr>
          <w:rFonts w:ascii="Arial" w:eastAsia="Times New Roman" w:hAnsi="Arial" w:cs="Arial"/>
          <w:sz w:val="18"/>
          <w:szCs w:val="18"/>
          <w:lang w:eastAsia="ru-RU"/>
        </w:rPr>
      </w:pPr>
    </w:p>
    <w:p w:rsidR="00631E1B" w:rsidRPr="005015D0" w:rsidRDefault="00631E1B" w:rsidP="00631E1B">
      <w:pPr>
        <w:pBdr>
          <w:bottom w:val="single" w:sz="6" w:space="1" w:color="auto"/>
        </w:pBdr>
        <w:spacing w:after="0" w:line="240" w:lineRule="auto"/>
        <w:jc w:val="center"/>
        <w:rPr>
          <w:rFonts w:ascii="Arial" w:eastAsia="Times New Roman" w:hAnsi="Arial" w:cs="Arial"/>
          <w:vanish/>
          <w:sz w:val="16"/>
          <w:szCs w:val="16"/>
          <w:lang w:eastAsia="ru-RU"/>
        </w:rPr>
      </w:pPr>
      <w:r w:rsidRPr="005015D0">
        <w:rPr>
          <w:rFonts w:ascii="Arial" w:eastAsia="Times New Roman" w:hAnsi="Arial" w:cs="Arial"/>
          <w:vanish/>
          <w:sz w:val="16"/>
          <w:szCs w:val="16"/>
          <w:lang w:eastAsia="ru-RU"/>
        </w:rPr>
        <w:t>Начало формы</w:t>
      </w:r>
    </w:p>
    <w:p w:rsidR="00631E1B" w:rsidRPr="005015D0" w:rsidRDefault="00631E1B" w:rsidP="00631E1B">
      <w:pPr>
        <w:spacing w:after="0" w:line="240" w:lineRule="auto"/>
        <w:textAlignment w:val="baseline"/>
        <w:rPr>
          <w:rFonts w:ascii="Arial" w:eastAsia="Times New Roman" w:hAnsi="Arial" w:cs="Arial"/>
          <w:sz w:val="18"/>
          <w:szCs w:val="18"/>
          <w:lang w:eastAsia="ru-RU"/>
        </w:rPr>
      </w:pPr>
      <w:r w:rsidRPr="005015D0">
        <w:rPr>
          <w:rFonts w:ascii="Arial" w:eastAsia="Times New Roman"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7.8pt" o:ole="">
            <v:imagedata r:id="rId8" o:title=""/>
          </v:shape>
          <w:control r:id="rId9" w:name="DefaultOcxName" w:shapeid="_x0000_i1034"/>
        </w:object>
      </w:r>
      <w:r w:rsidRPr="005015D0">
        <w:rPr>
          <w:rFonts w:ascii="Arial" w:eastAsia="Times New Roman" w:hAnsi="Arial" w:cs="Arial"/>
          <w:sz w:val="18"/>
          <w:szCs w:val="18"/>
        </w:rPr>
        <w:object w:dxaOrig="225" w:dyaOrig="225">
          <v:shape id="_x0000_i1037" type="#_x0000_t75" style="width:1in;height:17.8pt" o:ole="">
            <v:imagedata r:id="rId10" o:title=""/>
          </v:shape>
          <w:control r:id="rId11" w:name="DefaultOcxName1" w:shapeid="_x0000_i1037"/>
        </w:object>
      </w:r>
      <w:r w:rsidRPr="005015D0">
        <w:rPr>
          <w:rFonts w:ascii="Arial" w:eastAsia="Times New Roman" w:hAnsi="Arial" w:cs="Arial"/>
          <w:sz w:val="18"/>
          <w:szCs w:val="18"/>
        </w:rPr>
        <w:object w:dxaOrig="225" w:dyaOrig="225">
          <v:shape id="_x0000_i1040" type="#_x0000_t75" style="width:1in;height:17.8pt" o:ole="">
            <v:imagedata r:id="rId12" o:title=""/>
          </v:shape>
          <w:control r:id="rId13" w:name="DefaultOcxName2" w:shapeid="_x0000_i1040"/>
        </w:object>
      </w:r>
      <w:r w:rsidRPr="005015D0">
        <w:rPr>
          <w:rFonts w:ascii="Arial" w:eastAsia="Times New Roman" w:hAnsi="Arial" w:cs="Arial"/>
          <w:sz w:val="18"/>
          <w:szCs w:val="18"/>
          <w:lang w:eastAsia="ru-RU"/>
        </w:rPr>
        <w:t xml:space="preserve">Редакция на дату:  </w:t>
      </w:r>
      <w:r w:rsidRPr="005015D0">
        <w:rPr>
          <w:rFonts w:ascii="Arial" w:eastAsia="Times New Roman" w:hAnsi="Arial" w:cs="Arial"/>
          <w:sz w:val="18"/>
          <w:szCs w:val="18"/>
        </w:rPr>
        <w:object w:dxaOrig="225" w:dyaOrig="225">
          <v:shape id="_x0000_i1043" type="#_x0000_t75" style="width:1in;height:17.8pt" o:ole="">
            <v:imagedata r:id="rId14" o:title=""/>
          </v:shape>
          <w:control r:id="rId15" w:name="DefaultOcxName3" w:shapeid="_x0000_i1043"/>
        </w:object>
      </w:r>
    </w:p>
    <w:p w:rsidR="00631E1B" w:rsidRPr="005015D0" w:rsidRDefault="00631E1B" w:rsidP="00631E1B">
      <w:pPr>
        <w:pBdr>
          <w:top w:val="single" w:sz="6" w:space="1" w:color="auto"/>
        </w:pBdr>
        <w:spacing w:after="0" w:line="240" w:lineRule="auto"/>
        <w:jc w:val="center"/>
        <w:rPr>
          <w:rFonts w:ascii="Arial" w:eastAsia="Times New Roman" w:hAnsi="Arial" w:cs="Arial"/>
          <w:sz w:val="16"/>
          <w:szCs w:val="16"/>
          <w:lang w:eastAsia="ru-RU"/>
        </w:rPr>
      </w:pPr>
    </w:p>
    <w:p w:rsidR="00631E1B" w:rsidRPr="005015D0" w:rsidRDefault="00631E1B" w:rsidP="00631E1B">
      <w:pPr>
        <w:pBdr>
          <w:top w:val="single" w:sz="6" w:space="1" w:color="auto"/>
        </w:pBdr>
        <w:spacing w:after="0" w:line="240" w:lineRule="auto"/>
        <w:jc w:val="center"/>
        <w:rPr>
          <w:rFonts w:ascii="Arial" w:eastAsia="Times New Roman" w:hAnsi="Arial" w:cs="Arial"/>
          <w:sz w:val="16"/>
          <w:szCs w:val="16"/>
          <w:lang w:eastAsia="ru-RU"/>
        </w:rPr>
      </w:pPr>
    </w:p>
    <w:p w:rsidR="00631E1B" w:rsidRPr="005015D0" w:rsidRDefault="00631E1B" w:rsidP="00631E1B">
      <w:pPr>
        <w:pBdr>
          <w:top w:val="single" w:sz="6" w:space="1" w:color="auto"/>
        </w:pBdr>
        <w:spacing w:after="0" w:line="240" w:lineRule="auto"/>
        <w:jc w:val="center"/>
        <w:rPr>
          <w:rFonts w:ascii="Arial" w:eastAsia="Times New Roman" w:hAnsi="Arial" w:cs="Arial"/>
          <w:vanish/>
          <w:sz w:val="16"/>
          <w:szCs w:val="16"/>
          <w:lang w:eastAsia="ru-RU"/>
        </w:rPr>
      </w:pPr>
      <w:r w:rsidRPr="005015D0">
        <w:rPr>
          <w:rFonts w:ascii="Arial" w:eastAsia="Times New Roman" w:hAnsi="Arial" w:cs="Arial"/>
          <w:vanish/>
          <w:sz w:val="16"/>
          <w:szCs w:val="16"/>
          <w:lang w:eastAsia="ru-RU"/>
        </w:rPr>
        <w:t>Конец формы</w:t>
      </w:r>
    </w:p>
    <w:p w:rsidR="00631E1B" w:rsidRPr="005015D0" w:rsidRDefault="00631E1B" w:rsidP="00631E1B">
      <w:pPr>
        <w:spacing w:after="0" w:line="384" w:lineRule="auto"/>
        <w:rPr>
          <w:rFonts w:ascii="Verdana" w:eastAsia="Times New Roman" w:hAnsi="Verdana" w:cs="Tahoma"/>
          <w:vanish/>
          <w:sz w:val="20"/>
          <w:szCs w:val="20"/>
          <w:lang w:eastAsia="ru-RU"/>
        </w:rPr>
      </w:pPr>
    </w:p>
    <w:p w:rsidR="00631E1B" w:rsidRPr="005015D0" w:rsidRDefault="00631E1B" w:rsidP="00631E1B">
      <w:pPr>
        <w:spacing w:after="150" w:line="384" w:lineRule="auto"/>
        <w:rPr>
          <w:rFonts w:ascii="Verdana" w:eastAsia="Times New Roman" w:hAnsi="Verdana" w:cs="Tahoma"/>
          <w:vanish/>
          <w:sz w:val="20"/>
          <w:szCs w:val="20"/>
          <w:lang w:eastAsia="ru-RU"/>
        </w:rPr>
      </w:pPr>
      <w:r w:rsidRPr="005015D0">
        <w:rPr>
          <w:rFonts w:ascii="Verdana" w:eastAsia="Times New Roman" w:hAnsi="Verdana" w:cs="Tahoma"/>
          <w:b/>
          <w:bCs/>
          <w:vanish/>
          <w:sz w:val="20"/>
          <w:szCs w:val="20"/>
          <w:lang w:eastAsia="ru-RU"/>
        </w:rPr>
        <w:t>Принявший орган:</w:t>
      </w:r>
      <w:r w:rsidRPr="005015D0">
        <w:rPr>
          <w:rFonts w:ascii="Verdana" w:eastAsia="Times New Roman" w:hAnsi="Verdana" w:cs="Tahoma"/>
          <w:vanish/>
          <w:sz w:val="20"/>
          <w:szCs w:val="20"/>
          <w:lang w:eastAsia="ru-RU"/>
        </w:rPr>
        <w:t xml:space="preserve"> Российский фонд фундаментальных исследований</w:t>
      </w:r>
      <w:r w:rsidRPr="005015D0">
        <w:rPr>
          <w:rFonts w:ascii="Verdana" w:eastAsia="Times New Roman" w:hAnsi="Verdana" w:cs="Tahoma"/>
          <w:vanish/>
          <w:sz w:val="20"/>
          <w:szCs w:val="20"/>
          <w:lang w:eastAsia="ru-RU"/>
        </w:rPr>
        <w:br/>
      </w:r>
      <w:r w:rsidRPr="005015D0">
        <w:rPr>
          <w:rFonts w:ascii="Verdana" w:eastAsia="Times New Roman" w:hAnsi="Verdana" w:cs="Tahoma"/>
          <w:b/>
          <w:bCs/>
          <w:vanish/>
          <w:sz w:val="20"/>
          <w:szCs w:val="20"/>
          <w:lang w:eastAsia="ru-RU"/>
        </w:rPr>
        <w:t>Дата редакции:</w:t>
      </w:r>
      <w:r w:rsidRPr="005015D0">
        <w:rPr>
          <w:rFonts w:ascii="Verdana" w:eastAsia="Times New Roman" w:hAnsi="Verdana" w:cs="Tahoma"/>
          <w:vanish/>
          <w:sz w:val="20"/>
          <w:szCs w:val="20"/>
          <w:lang w:eastAsia="ru-RU"/>
        </w:rPr>
        <w:t xml:space="preserve"> 29.01.2014</w:t>
      </w:r>
    </w:p>
    <w:p w:rsidR="00631E1B" w:rsidRPr="005015D0" w:rsidRDefault="00631E1B" w:rsidP="00631E1B">
      <w:pPr>
        <w:spacing w:after="195" w:line="384" w:lineRule="auto"/>
        <w:outlineLvl w:val="4"/>
        <w:rPr>
          <w:rFonts w:ascii="Verdana" w:eastAsia="Times New Roman" w:hAnsi="Verdana" w:cs="Tahoma"/>
          <w:b/>
          <w:bCs/>
          <w:vanish/>
          <w:sz w:val="24"/>
          <w:szCs w:val="24"/>
          <w:lang w:eastAsia="ru-RU"/>
        </w:rPr>
      </w:pPr>
      <w:r w:rsidRPr="005015D0">
        <w:rPr>
          <w:rFonts w:ascii="Verdana" w:eastAsia="Times New Roman" w:hAnsi="Verdana" w:cs="Tahoma"/>
          <w:b/>
          <w:bCs/>
          <w:vanish/>
          <w:sz w:val="24"/>
          <w:szCs w:val="24"/>
          <w:lang w:eastAsia="ru-RU"/>
        </w:rPr>
        <w:t>Редакции документа</w:t>
      </w:r>
    </w:p>
    <w:p w:rsidR="00631E1B" w:rsidRPr="005015D0" w:rsidRDefault="00631E1B" w:rsidP="00631E1B">
      <w:pPr>
        <w:numPr>
          <w:ilvl w:val="0"/>
          <w:numId w:val="1"/>
        </w:numPr>
        <w:spacing w:after="195" w:line="384" w:lineRule="auto"/>
        <w:ind w:left="300"/>
        <w:rPr>
          <w:rFonts w:ascii="Verdana" w:eastAsia="Times New Roman" w:hAnsi="Verdana" w:cs="Tahoma"/>
          <w:vanish/>
          <w:sz w:val="20"/>
          <w:szCs w:val="20"/>
          <w:lang w:eastAsia="ru-RU"/>
        </w:rPr>
      </w:pPr>
      <w:r w:rsidRPr="005015D0">
        <w:rPr>
          <w:rFonts w:ascii="Verdana" w:eastAsia="Times New Roman" w:hAnsi="Verdana" w:cs="Tahoma"/>
          <w:vanish/>
          <w:sz w:val="20"/>
          <w:szCs w:val="20"/>
          <w:lang w:eastAsia="ru-RU"/>
        </w:rPr>
        <w:t>с 29.01.2014</w:t>
      </w:r>
    </w:p>
    <w:p w:rsidR="00631E1B" w:rsidRPr="005015D0" w:rsidRDefault="00631E1B" w:rsidP="00631E1B">
      <w:pPr>
        <w:spacing w:after="240" w:line="384" w:lineRule="auto"/>
        <w:rPr>
          <w:rFonts w:ascii="Verdana" w:eastAsia="Times New Roman" w:hAnsi="Verdana" w:cs="Tahoma"/>
          <w:vanish/>
          <w:sz w:val="20"/>
          <w:szCs w:val="20"/>
          <w:lang w:eastAsia="ru-RU"/>
        </w:rPr>
      </w:pPr>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16" w:history="1">
        <w:r w:rsidR="00631E1B" w:rsidRPr="005015D0">
          <w:rPr>
            <w:rFonts w:ascii="Verdana" w:eastAsia="Times New Roman" w:hAnsi="Verdana" w:cs="Tahoma"/>
            <w:vanish/>
            <w:sz w:val="20"/>
            <w:szCs w:val="20"/>
            <w:u w:val="single"/>
            <w:lang w:eastAsia="ru-RU"/>
          </w:rPr>
          <w:t xml:space="preserve">1. Общие положения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17" w:history="1">
        <w:r w:rsidR="00631E1B" w:rsidRPr="005015D0">
          <w:rPr>
            <w:rFonts w:ascii="Verdana" w:eastAsia="Times New Roman" w:hAnsi="Verdana" w:cs="Tahoma"/>
            <w:vanish/>
            <w:sz w:val="20"/>
            <w:szCs w:val="20"/>
            <w:u w:val="single"/>
            <w:lang w:eastAsia="ru-RU"/>
          </w:rPr>
          <w:t xml:space="preserve">2. Решение Фонда о предоставлении гранта. Порядок взаимодействия Фонда, Грантополучателя и Организации после принятия Фондом решения о предоставлении гранта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18" w:history="1">
        <w:r w:rsidR="00631E1B" w:rsidRPr="005015D0">
          <w:rPr>
            <w:rFonts w:ascii="Verdana" w:eastAsia="Times New Roman" w:hAnsi="Verdana" w:cs="Tahoma"/>
            <w:vanish/>
            <w:sz w:val="20"/>
            <w:szCs w:val="20"/>
            <w:u w:val="single"/>
            <w:lang w:eastAsia="ru-RU"/>
          </w:rPr>
          <w:t xml:space="preserve">3. Действия Грантополучателя, Организации и Фонда на этапе реализации Проекта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19" w:history="1">
        <w:r w:rsidR="00631E1B" w:rsidRPr="005015D0">
          <w:rPr>
            <w:rFonts w:ascii="Verdana" w:eastAsia="Times New Roman" w:hAnsi="Verdana" w:cs="Tahoma"/>
            <w:vanish/>
            <w:sz w:val="20"/>
            <w:szCs w:val="20"/>
            <w:u w:val="single"/>
            <w:lang w:eastAsia="ru-RU"/>
          </w:rPr>
          <w:t xml:space="preserve">4. Порядок использования оборудования, приборов и предметов длительного пользования, приобретенных за счет гранта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20" w:history="1">
        <w:r w:rsidR="00631E1B" w:rsidRPr="005015D0">
          <w:rPr>
            <w:rFonts w:ascii="Verdana" w:eastAsia="Times New Roman" w:hAnsi="Verdana" w:cs="Tahoma"/>
            <w:vanish/>
            <w:sz w:val="20"/>
            <w:szCs w:val="20"/>
            <w:u w:val="single"/>
            <w:lang w:eastAsia="ru-RU"/>
          </w:rPr>
          <w:t xml:space="preserve">5. Права на результаты, полученные при реализации Проекта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21" w:history="1">
        <w:r w:rsidR="00631E1B" w:rsidRPr="005015D0">
          <w:rPr>
            <w:rFonts w:ascii="Verdana" w:eastAsia="Times New Roman" w:hAnsi="Verdana" w:cs="Tahoma"/>
            <w:vanish/>
            <w:sz w:val="20"/>
            <w:szCs w:val="20"/>
            <w:u w:val="single"/>
            <w:lang w:eastAsia="ru-RU"/>
          </w:rPr>
          <w:t xml:space="preserve">6. Источник финансирования Проектов, требования к счетам Грантополучателей и Организаций, контроль расходования грантов </w:t>
        </w:r>
      </w:hyperlink>
    </w:p>
    <w:p w:rsidR="00631E1B" w:rsidRPr="005015D0" w:rsidRDefault="005F3DDE" w:rsidP="00631E1B">
      <w:pPr>
        <w:numPr>
          <w:ilvl w:val="0"/>
          <w:numId w:val="2"/>
        </w:numPr>
        <w:spacing w:before="75" w:after="195" w:line="384" w:lineRule="auto"/>
        <w:ind w:left="225" w:right="90"/>
        <w:rPr>
          <w:rFonts w:ascii="Verdana" w:eastAsia="Times New Roman" w:hAnsi="Verdana" w:cs="Tahoma"/>
          <w:vanish/>
          <w:sz w:val="20"/>
          <w:szCs w:val="20"/>
          <w:lang w:eastAsia="ru-RU"/>
        </w:rPr>
      </w:pPr>
      <w:hyperlink r:id="rId22" w:history="1">
        <w:r w:rsidR="00631E1B" w:rsidRPr="005015D0">
          <w:rPr>
            <w:rFonts w:ascii="Verdana" w:eastAsia="Times New Roman" w:hAnsi="Verdana" w:cs="Tahoma"/>
            <w:vanish/>
            <w:sz w:val="20"/>
            <w:szCs w:val="20"/>
            <w:u w:val="single"/>
            <w:lang w:eastAsia="ru-RU"/>
          </w:rPr>
          <w:t xml:space="preserve">7. Заключительные положения </w:t>
        </w:r>
      </w:hyperlink>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1" w:name="part1075456"/>
      <w:bookmarkEnd w:id="1"/>
      <w:r w:rsidRPr="005015D0">
        <w:rPr>
          <w:rFonts w:ascii="Tahoma" w:eastAsia="Times New Roman" w:hAnsi="Tahoma" w:cs="Tahoma"/>
          <w:b/>
          <w:bCs/>
          <w:sz w:val="21"/>
          <w:szCs w:val="21"/>
          <w:lang w:eastAsia="ru-RU"/>
        </w:rPr>
        <w:t xml:space="preserve">1. Общие положения </w:t>
      </w:r>
    </w:p>
    <w:p w:rsidR="00631E1B" w:rsidRPr="005015D0" w:rsidRDefault="00631E1B" w:rsidP="00631E1B">
      <w:pPr>
        <w:spacing w:after="0"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br/>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1.1. Настоящие Правила определяют порядок взаимодействия федерального государственного бюджетного учреждения «Российский фонд фундаментальных исследований « (далее – Фонд) с научными организациями, физическими лицами и коллективами физических лиц, научные проекты которых получили поддержку Фонда в виде гранта по результатам Конкурса инициативных научных проектов (Конкурс), и организациями, которые на основе договора предоставляют физическим лицам и коллективам физических лиц условия для выполнения работ по научным проектам, поддержанным Фондом.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Правила с особенностями, которые отражаются в объявлениях о проведении соответствующих конкурсов, применяются к конкурсам проектов фундаментальных научных исследований, в том числе проводимым молодыми учеными, к конкурсам, проводимым по программам стабилизации научных коллективов и закреплению в них молодых ученых, к конкурсам ориентированных фундаментальных исследований, в том числе междисциплинарным, к конкурсам, проводимым в рамках регионального и международного сотрудничества, конкурсам издания научных трудов, информационного обеспечения фундаментальных научных исследований и проведения экспедиций.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1.2. Сокращения и термины, используемые в настоящих Правилах: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Грант – денежные и иные средства, передаваемые безвозмездно и безвозвратно Фондом, на проведение конкретных научных исследований на условиях, предусмотренных Фондом.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Грантополучатель – научная организация, физическое лицо, коллектив физических лиц (научных работников, аспирантов, студентов, специалистов научной организации и работников сферы научного обслуживания, объединившихся для представления на Конкурс научного проекта), получившие грант Фонда по результатам Конкурса.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Научная организация – юридическое лицо, осуществляющее научную или научно-техническую деятельность, подготовку научных работников, действующее на основании учредительных документов научной организации.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Организация – юридическое лицо (как правило, научная организация), предоставляющая Грантополучателям – физическим лицам и коллективам физических лиц, условия для выполнения научных проектов, поддержанных Фондом, заключившая договор с Фондом и Грантополучателем.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Руководитель Проекта – физическое лицо, которому научная организация или коллектив физических лиц доверили представлять их интересы во взаимоотношениях с Фондом, Организацией, иными юридическими и физическими лицами по вопросам представления научного проекта на Конкурс, общего руководства научным проектом при его выполнении, в том числе распределения денежных средств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Координатор – работник Организации, назначенный руководителем Организации для взаимодействия с Фондом, и зарегистрированный в информационной системе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окружающей среды.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Проект (научный проект) – проект фундаментальных научных исследований, представленный на Конкурс и поддержанный Фондом.</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2" w:name="part1075460"/>
      <w:bookmarkEnd w:id="2"/>
      <w:r w:rsidRPr="005015D0">
        <w:rPr>
          <w:rFonts w:ascii="Tahoma" w:eastAsia="Times New Roman" w:hAnsi="Tahoma" w:cs="Tahoma"/>
          <w:b/>
          <w:bCs/>
          <w:sz w:val="21"/>
          <w:szCs w:val="21"/>
          <w:lang w:eastAsia="ru-RU"/>
        </w:rPr>
        <w:t xml:space="preserve">2. Решение Фонда о предоставлении гранта. Порядок взаимодействия Фонда, Грантополучателя и Организации после принятия Фондом решения о предоставлении гранта </w:t>
      </w:r>
    </w:p>
    <w:p w:rsidR="00631E1B" w:rsidRPr="005015D0" w:rsidRDefault="00631E1B" w:rsidP="00631E1B">
      <w:pPr>
        <w:spacing w:after="0"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br/>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2.1. Решение Фонда о поддержке Проекта и предоставлении гранта (в том числе по Проекту, выполнение которого рассчитано более чем на 1 год и получившего грант в текущем году) содержит номер Проекта и сведения о размере денежных средств, выделенных на выполнение Проекта (размер гранта). Размер гранта устанавливается на один календарный год.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Список Проектов, поддержанных Фондом, публикуется на сайте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Сведения о размере гранта сообщаются только Грантополучателю (Руководителю проекта) и Координатору. Эти сведения размещаются в Личном кабинете Грантополучателя (Руководителя проекта) и Координатора в информационной системе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2.2. Грантополучатель (Руководитель проекта) и Организация после появления на сайте Фонда и/или Личном кабинете Грантополучателя (Руководителя проекта) и Координатора информации, указанной в п. 2.1 настоящих Правил, обязаны осуществить необходимые действия по государственной регистрации темы Проекта в соответствии с действующим законодательством, и ввести в информационную систему Фонда регистрационный номер темы Проекта, полученный в ФГАНУ «ЦИТиС».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При отсутствии у Грантополучателя – юридического лица, или у Организации счета, удовлетворяющего требованиям п. 6.2 настоящих Правил, указанные лица обязаны открыть такой счет и ввести реквизиты счета в информационную систему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Кроме того, Грантополучатель (Руководитель проекта) должен удостовериться, что в информационной системе Фонда карточка Организации имеет статус «достоверность подтверждена», содержатся сведения о Координаторе, и он имеет статус «подтвержден».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Если в информационной системе Фонда статус Координатора указан как «не подтвержден « или отсутствуют сведения о Координаторе, Грантополучатель (Руководитель проекта) должен обратиться или к Координатору, если он указан в информационной системе, но с ненадлежащим статусом, или в Организацию для назначения Координатора и/или подтверждения его статуса.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Внесение в информационную систему регистрационного номера темы Проекта, предоставление в Фонд документов для подтверждения Координатора – статус «подтвержден», и карточки Организации – статус «достоверность подтверждена «, должны быть осуществлены Грантополучателем (Руководителем проекта) и Организацией (Координатором) в течение 30 календарных дней с момента опубликования Фондом решения о поддержке Проекта и предоставлении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2.3. На основании сведений, внесенных в информационную систему Фонда в соответствии с п. 2.2 настоящих Правил, и при соответствии статуса Организации и Координатора требованиям информационной системы Фонд формирует и размещает в личных кабинетах Грантополучателей (Руководителей проектов) в информационной системе Фонда трехсторонний Договор между Фондом, Грантополучателем и Организацией, предоставляющей условия для выполнения Проекта, или двухсторонний Договор между Фондом и Грантополучателем – научной организацией (далее – Договор).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2.4. Грантополучатель обязан распечатать Договор в необходимом количестве экземпляров, подписать Договор, а в случае, если Грантополучателем является физическое лицо или коллектив физических лиц, получить еще заверенную печатью подпись руководителя Организации под Договором.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Подписанный Договор должен быть представлен в Фонд в течение 22 календарных дней с момента размещения Договора в Личном кабинете Грантополучателя (Руководителя проекта) и Координатора в информационной системе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По почте Договор должен быть направлен в Фонд с таким расчетом, чтобы он был получен Фондом до истечения срока, указанного выше.».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2.5. Если обязательства Грантополучателя, Организации (Координатора) по п. п. 2.2,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2.4 настоящих Правил не будут исполнены в сроки, указанные в этих пунктах, Фонд имеет право рассмотреть вопрос об отмене своего решения о выделении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2.6. После предоставления в Фонд подписанного Договора Фонд подписывает Договор со своей стороны, направляет экземпляры Договора Грантополучателю и Организации, перечисляет денежные средства, выделенные на поддержку Проекта, на счет Организации или, соответственно, Грантополучателя, если Грантополучателем является научная организация.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Договор распространяет свое действие на отношения сторон, возникшие с момента принятия Фондом решения о поддержке Проекта. Затраты, произведенные Грантополучателем в период с момента принятия Фондом решения о поддержке Проекта и предоставлении гранта и до заключения Договора, могут быть компенсированы из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2.7. Порядок, установленный настоящим разделом Правил, действует как в случаях принятия Фондом решения о поддержке Проекта впервые, так и в случае принятия решения о продолжении финансирования ранее поддержанного Проекта.</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3" w:name="part1075463"/>
      <w:bookmarkEnd w:id="3"/>
      <w:r w:rsidRPr="005015D0">
        <w:rPr>
          <w:rFonts w:ascii="Tahoma" w:eastAsia="Times New Roman" w:hAnsi="Tahoma" w:cs="Tahoma"/>
          <w:b/>
          <w:bCs/>
          <w:sz w:val="21"/>
          <w:szCs w:val="21"/>
          <w:lang w:eastAsia="ru-RU"/>
        </w:rPr>
        <w:t xml:space="preserve">3. Действия Грантополучателя, Организации и Фонда на этапе реализации Проекта </w:t>
      </w:r>
    </w:p>
    <w:p w:rsidR="00631E1B" w:rsidRPr="005015D0" w:rsidRDefault="00631E1B" w:rsidP="00631E1B">
      <w:pPr>
        <w:spacing w:after="0"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br/>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3.1. При выполнении Проекта, поддержанного Фондом, Грантополучатель, Организация и Фонд руководствуются настоящими Правилами и Договором, заключенным в соответствии с п. п. 2.3, 2.4 настоящих Правил.</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3.2. Грантополучатель: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выполняет работы для достижения научных целей, заявленных в Проекте, представ- ленном на Конкурс,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расходует денежные средства, выделенные Фондом, в соответствии с условиями Договора,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предоставляет в Фонд в установленные сроки необходимые отчеты по Проекту,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незамедлительно ставит Фонд в известность об обстоятельствах научного и организационного характера, препятствующих продолжению работ по Проекту, в том числе в случаях, если это связано с неисполнением обязательств Организации перед Грантополучателем,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информирует Фонд о результатах Проекта, которые имеют признаки патентоспособности или возможности коммерческого использования, а также о результатах, которые могут представлять собой государственную тайну и принимает все необходимые меры, предусмотренные законом для таких случаев,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публикует результаты исследований в рецензируемых научных изданиях; при публикации результатов, полученных по Проекту, и любой научной работы, написанной по итогам или с использованием результатов Проекта, ссылается на грант Фонда с указанием его номера.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3.3. Грантополучатель – физическое лицо или коллектив физических лиц, имеет право обратиться в Фонд и Организацию с предложением расторгнуть Договор до окончания срока его действия, в случае необходимости заключения нового Договора с участием другой организации; процедура прекращения Договора и заключения нового Договора согласовывается с Фондом и Организацией.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3.4. Грантополучатель – коллектив физических лиц, имеет право произвести замену Руководителя проекта в следующих случаях: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 если Руководитель проекта просит о своей замене,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по инициативе членов коллектива или Фонда в случае, если Руководитель проекта не может исполнять (не исполняет) в полном объеме свои обязанности.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Грантополучатель – коллектив физических лиц, обязан заменить Руководителя в случае его длительного, более трех месяцев, отсутствия или смерти.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Замена Руководителя проекта производится на основании решения членов коллектива. Решение оформляется в письменном виде в произвольной форме (возможно, письмами членов коллектива) и предоставляется в Фонд незамедлительно.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Выбывшие по любым причинам члены коллектива не заменяются. Замена членов коллектива возможна только на следующий год выполнения Проекта при предоставлении отчета по Проекту за текущий год.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В случае, если в связи с решением о замене Руководителя проекта Фонд выявит факты нарушений условий Конкурса и/или обстоятельства, препятствующие исполнению Проекта, Фонд имеет право требовать возврата гранта (полностью или части).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3.5. Организация: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принимает на счет денежные средства (грант), предоставленные Фондом по результатам Конкурса Грантополучателю, и производит расчеты в соответствии с поручениями Грантополучателя,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ведет учет расходов по каждому отдельному Проекту, реализуемому в Организации, составляет и предоставляет в Фонд сводный финансовый отчет,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создает Грантополучателю условия для выполнения работ по Проекту, обеспечивает безопасное ведение работ, в том числе знакомит Грантополучателя с действующими в Организации локальными нормативными актами по технике безопасности, пожарной безопасности и т. д., проводит соответствующие инструктажи,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создает необходимые условия для осуществления Фондом контроля расходования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незамедлительно информирует Фонд о невозможности продолжения работ по Проекту по любым основаниям,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ведет учет оборудования, изготовленного и/или приобретенного за счет гранта, по правилам, существующим в Организации, по окончании Проекта (если работы по </w:t>
      </w:r>
      <w:r w:rsidRPr="005015D0">
        <w:rPr>
          <w:rFonts w:ascii="Verdana" w:eastAsia="Times New Roman" w:hAnsi="Verdana" w:cs="Tahoma"/>
          <w:sz w:val="20"/>
          <w:szCs w:val="20"/>
          <w:lang w:eastAsia="ru-RU"/>
        </w:rPr>
        <w:lastRenderedPageBreak/>
        <w:t xml:space="preserve">Проекту не продолжаются или не получили дальнейшей поддержки Фонда) оставляет оборудование на своем балансе,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по поручению Грантополучателя от своего имени оформляет договоры на выполнение работ с третьими лицами за счет гранта, при участии Грантополучателя принимает работы, выполненные по эти договорам, и оформляет акты приемки этих работ.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3.6. Организация обязана назначить из числа своих работников Координатора.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Координатор несет ответственность за актуальность сведений об Организации в информационной системе Фонда, своевременность представления в Фонд отчетов по проектам, поддержанным Фондом и реализуемым в Организации, за своевременное предоставление Организации и Грантополучателям информации, поступающей от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Координатор обязан соблюдать требование адресности и конфиденциальности в отношении сведений, поступающих от Фонда Организации и Грантополучателям.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3.7. Организация имеет право компенсировать свои расходы, которые она произведет для создания условий выполнения Проекта, в размере согласованном с Грантополучатем, но не превышающем 20 процентов от суммы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3.8. Фонд: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осуществляет контроль расходования денежных средств, выделенных на проведение работ по Проекту, в том числе с привлечением сторонних специализированных организаций,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незамедлительно рассматривает уведомления Грантополучателя и Организации об обстоятельствах научного и организационного характера, препятствующих продолжению работ по Проекту, и принимает необходимые решения,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на основании соответствующей заявки и отчета Грантополучателя о выполнении работ по Проекту в истекшем году в соответствии с процедурами, установленными в Фонде, рассматривает вопрос о предоставлении гранта на продолжение работ по Проекту в следующем году.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3.9. Фонд по согласованию с Грантополучателем имеет право расторгнуть Договор и заключить Договор с другой организацией в следующих случаях: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при установлении фактов нецелевого использования Организацией средств гранта,</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 при создании Организацией условий, препятствующих успешному выполнению Проекта,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при реорганизации Организации и при угрозе банкротства Организации (подача соответствующего иска кредиторами в арбитражный суд).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3.10. Фонд имеет право расторгнуть Договор в одностороннем порядке и требовать от Грантополучателя возврата (полного или частичного) денежных средств (гранта) в случаях выявления обстоятельств, препятствующих продолжению работ по Проекту, при нарушении Грантополучателем условий Договора, в том числе, если Грантополучатель не докажет необходимости использования денежных средств (гранта) для выполнения работ по Проекту.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Фонд имеет право требовать возврата гранта (части гранта) в случае его неиспользования в текущем финансовом году, в том числе от Организации в части, компенсирующей ее расходы.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3.11. Фонд имеет право отказать Грантополучателю в продолжении финансирования работ по Проекту при: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отсутствии научных оснований для продолжения Проекта,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отказе Организации создать необходимые условия ведения работ по Проекту и при отсутствии другой организации, которая даст согласие на свое участие в Проекте,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нарушении по вине Грантополучателя условий предоставления гранта,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 сокращении финансирования Фонда в соответствии с законом о федеральном бюджете. </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4" w:name="part1075467"/>
      <w:bookmarkEnd w:id="4"/>
      <w:r w:rsidRPr="005015D0">
        <w:rPr>
          <w:rFonts w:ascii="Tahoma" w:eastAsia="Times New Roman" w:hAnsi="Tahoma" w:cs="Tahoma"/>
          <w:b/>
          <w:bCs/>
          <w:sz w:val="21"/>
          <w:szCs w:val="21"/>
          <w:lang w:eastAsia="ru-RU"/>
        </w:rPr>
        <w:t xml:space="preserve">4. Порядок использования оборудования, приборов и предметов длительного пользования, приобретенных за счет гранта </w:t>
      </w:r>
    </w:p>
    <w:p w:rsidR="00631E1B" w:rsidRPr="005015D0" w:rsidRDefault="00631E1B" w:rsidP="00631E1B">
      <w:pPr>
        <w:spacing w:after="0"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br/>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4.1. Научная организация – Грантополучатель, ведет учет приобретенных и/или изготовленных для Проекта научных приборов, оборудования и других предметов длительного пользования (включая программное обеспечение) (ранее и далее – Оборудование), обеспечивает их целевое использование и сохранность.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4.2. При представлении Фондом гранта физическому лицу или коллективу физических лиц Оборудование, приобретенное за счет гранта, учитывается Организацией, по правилам, существующим в Организации.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Грантополучатель и Организация принимают необходимые меры для обеспечения сохранности Оборудования и использования по назначению. Ответственность за использование оборудования по назначению и за обеспечение условий его сохранности несут Грантополучатель и Организация.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4.3. Оборудование, приобретенное за счет гранта, должно находиться в распоряжении Грантополучателя (Руководителя проекта) и использоваться для целей Проекта; оно не может быть продано, сдано в аренду, заложено или иным образом передано или использовано не для целей Проекта, должно быть доступно при осуществлении проверок.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По окончании Проекта Оборудование остается у Организации. Грантополучатель имеет приоритет при его использовании. </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5" w:name="part1075469"/>
      <w:bookmarkEnd w:id="5"/>
      <w:r w:rsidRPr="005015D0">
        <w:rPr>
          <w:rFonts w:ascii="Tahoma" w:eastAsia="Times New Roman" w:hAnsi="Tahoma" w:cs="Tahoma"/>
          <w:b/>
          <w:bCs/>
          <w:sz w:val="21"/>
          <w:szCs w:val="21"/>
          <w:lang w:eastAsia="ru-RU"/>
        </w:rPr>
        <w:t xml:space="preserve">5. Права на результаты, полученные при реализации Проекта </w:t>
      </w:r>
    </w:p>
    <w:p w:rsidR="00631E1B" w:rsidRPr="005015D0" w:rsidRDefault="00631E1B" w:rsidP="00631E1B">
      <w:pPr>
        <w:spacing w:after="0"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br/>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5.1. Грантополучатель и Организация обязаны информировать Фонд о результатах Проекта, которые имеют признаки патентоспособности или возможности коммерческого использования, а также о результатах, которые могут представлять собой государственную тайну. В этих случаях Грантополучатель и Организация должны принять все необходимые меры, предусмотренные законом для ограничения доступа к такой информации.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5.2. При оформлении в соответствии с действующим законодательством исключительного права на результаты интеллектуальной деятельности, полученные по Проекту, Грантополучатель обязан безвозмездно передать Российской Федерации неисключительное право на использование результатов интеллектуальной деятельности, полученных по Проекту.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5.3. Организация и Грантополучатель имеют право заключать двухсторонние соглашения по вопросам оформления права на результаты интеллектуальной деятельности, полученные по Проекту, но с учетом п. 5.2 настоящих Правил.</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6" w:name="part1075473"/>
      <w:bookmarkEnd w:id="6"/>
      <w:r w:rsidRPr="005015D0">
        <w:rPr>
          <w:rFonts w:ascii="Tahoma" w:eastAsia="Times New Roman" w:hAnsi="Tahoma" w:cs="Tahoma"/>
          <w:b/>
          <w:bCs/>
          <w:sz w:val="21"/>
          <w:szCs w:val="21"/>
          <w:lang w:eastAsia="ru-RU"/>
        </w:rPr>
        <w:lastRenderedPageBreak/>
        <w:t xml:space="preserve">6. Источник финансирования Проектов, требования к счетам Грантополучателей и Организаций, контроль расходования грантов </w:t>
      </w:r>
    </w:p>
    <w:p w:rsidR="00631E1B" w:rsidRPr="005015D0" w:rsidRDefault="00631E1B" w:rsidP="00631E1B">
      <w:pPr>
        <w:spacing w:after="0" w:line="384" w:lineRule="auto"/>
        <w:rPr>
          <w:rFonts w:ascii="Verdana" w:eastAsia="Times New Roman" w:hAnsi="Verdana" w:cs="Tahoma"/>
          <w:sz w:val="20"/>
          <w:szCs w:val="20"/>
          <w:lang w:eastAsia="ru-RU"/>
        </w:rPr>
      </w:pP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6.1. Предоставление грантов осуществляется в пределах бюджетных ассигнований, предусмотренных федеральным законодательством и лимитов бюджетных обязательств, доведенных в установленном порядке Фонду на поддержку научных проектов.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6.2. Перечисление грантов Грантополучателям и Организациям осуществляется в установленном порядке на счета, на которых в соответствии с законодательством Российской Федерации учитываются операции с грантами.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6.2.1. Операции с грантами, поступающими Грантополучателям и Организациям – бюджетным учреждениям, в соответствии с пунктом 8 Ст. 15 и пунктом 5 </w:t>
      </w:r>
      <w:hyperlink r:id="rId23" w:tgtFrame="_blank" w:history="1">
        <w:r w:rsidRPr="005015D0">
          <w:rPr>
            <w:rFonts w:ascii="Verdana" w:eastAsia="Times New Roman" w:hAnsi="Verdana" w:cs="Tahoma"/>
            <w:sz w:val="20"/>
            <w:szCs w:val="20"/>
            <w:u w:val="single"/>
            <w:lang w:eastAsia="ru-RU"/>
          </w:rPr>
          <w:t>Ст. 15.1 Федерального закона от 23 августа 1996 г. № 127-ФЗ</w:t>
        </w:r>
      </w:hyperlink>
      <w:r w:rsidRPr="005015D0">
        <w:rPr>
          <w:rFonts w:ascii="Verdana" w:eastAsia="Times New Roman" w:hAnsi="Verdana" w:cs="Tahoma"/>
          <w:sz w:val="20"/>
          <w:szCs w:val="20"/>
          <w:lang w:eastAsia="ru-RU"/>
        </w:rPr>
        <w:t xml:space="preserve"> «О науке и государственной научно-технической политике», учитываются на лицевых счетах, открываемых бюджетным учреждениям в органе Федерального казначейства, финансовом органе субъекта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6.2.2. Операции с грантами, поступающими Грантополучателям и Организациям – автономным учреждениям, учитываются на лицевых счетах, открываемых автономным учреждениям в органе Федерального казначейства, финансовом органе субъекта Российской Федерации, муниципального образования в порядке, установленном соответственно Федеральным казначейством, финансовым органом субъекта Российской Федерации, муниципального образования либо на счетах, открываемых учреждениям в кредитных организациях.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6.2.3. Перечисление грантов Грантополучателям и Организациям – юридическим лицам, кроме указанных в п.п. 6.2.1, 6.2.2 настоящих Правил, осуществляется на расчетный счет, открытый в подразделениях расчетной сети Центрального банка Российской Федерации или в кредитных организациях.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6.3. Фонд осуществляет контроль расходования грантов на основании норм действующего законодательства, регулирующего отношения по использованию бюджетных средств для финансирования фундаментальных научных исследований, настоящих Правил, Перечней допускаемых Российским фондом фундаментальных иследований расходов на выполнение научных проектов (для соответствующих конкурсов), размещаемых на сайте Фонда и Договоров.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 xml:space="preserve">6.4. По результатам контрольных мероприятий Фонд, в случае нарушения законодательных норм и/или расходования гранта не в соответствии с настоящиими Правилами, Перечнем допускаемых Российским фондом фундаментальных иследований расходов на выполнение научных проектов (для соответствующего конкурса) и Договора имеет право требовать у Грантополучателя возврата гранта (части гранта). Грантополучатель обязан вернуть грант (часть гранта), если не докажет, что расходы были произведены для выполнения работ по Проекту.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Грантополучатель и Организация обязаны вернуть Фонду денежные средства, не израсходованные в текущем году, в том числе средства компенсирующие расходы Организации.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Возврат должен быть осуществлен течение 2 месяцев после окончания финансового года, если иное не будет согласовано с Фондом.</w:t>
      </w:r>
    </w:p>
    <w:p w:rsidR="00631E1B" w:rsidRPr="005015D0" w:rsidRDefault="00631E1B" w:rsidP="00631E1B">
      <w:pPr>
        <w:spacing w:after="240" w:line="384" w:lineRule="auto"/>
        <w:rPr>
          <w:rFonts w:ascii="Verdana" w:eastAsia="Times New Roman" w:hAnsi="Verdana" w:cs="Tahoma"/>
          <w:sz w:val="20"/>
          <w:szCs w:val="20"/>
          <w:lang w:eastAsia="ru-RU"/>
        </w:rPr>
      </w:pPr>
    </w:p>
    <w:p w:rsidR="00631E1B" w:rsidRPr="005015D0" w:rsidRDefault="00631E1B" w:rsidP="00631E1B">
      <w:pPr>
        <w:spacing w:after="195" w:line="384" w:lineRule="auto"/>
        <w:outlineLvl w:val="3"/>
        <w:rPr>
          <w:rFonts w:ascii="Tahoma" w:eastAsia="Times New Roman" w:hAnsi="Tahoma" w:cs="Tahoma"/>
          <w:b/>
          <w:bCs/>
          <w:sz w:val="21"/>
          <w:szCs w:val="21"/>
          <w:lang w:eastAsia="ru-RU"/>
        </w:rPr>
      </w:pPr>
      <w:bookmarkStart w:id="7" w:name="part1075475"/>
      <w:bookmarkEnd w:id="7"/>
      <w:r w:rsidRPr="005015D0">
        <w:rPr>
          <w:rFonts w:ascii="Tahoma" w:eastAsia="Times New Roman" w:hAnsi="Tahoma" w:cs="Tahoma"/>
          <w:b/>
          <w:bCs/>
          <w:sz w:val="21"/>
          <w:szCs w:val="21"/>
          <w:lang w:eastAsia="ru-RU"/>
        </w:rPr>
        <w:t xml:space="preserve">7. Заключительные положения </w:t>
      </w:r>
    </w:p>
    <w:p w:rsidR="00631E1B" w:rsidRPr="005015D0" w:rsidRDefault="00631E1B" w:rsidP="00631E1B">
      <w:pPr>
        <w:spacing w:after="0" w:line="384" w:lineRule="auto"/>
        <w:rPr>
          <w:rFonts w:ascii="Verdana" w:eastAsia="Times New Roman" w:hAnsi="Verdana" w:cs="Tahoma"/>
          <w:sz w:val="20"/>
          <w:szCs w:val="20"/>
          <w:lang w:eastAsia="ru-RU"/>
        </w:rPr>
      </w:pP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7.1. Подаваемые на конкурс материалы и материалы по Проекту предоставляются в Фонд с учетом требований законодательства Российской Федерации о защите государственной тайны.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Грантополучатель, Фонд и Организация обеспечивают конфиденциальность информации, которая станет им известна в связи с представлением Проекта на Конкурс и выполнением работ по Проекту, при этом будут приняты все необходимые меры для раскрытия информации в объемах, предусмотренных законодательством РФ.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7.2. Фонд оставляет за собой право вносить изменения в настоящие Правила.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Обо всех изменениях Фонд информирует Грантополучателей и Организации на своем сайте и/или через Личные кабинеты в информационной системе Фонда. </w:t>
      </w:r>
    </w:p>
    <w:p w:rsidR="00631E1B" w:rsidRPr="005015D0" w:rsidRDefault="00631E1B" w:rsidP="00631E1B">
      <w:pPr>
        <w:spacing w:after="195"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t xml:space="preserve">7.3. При изменениях в Правилах, которые могут существенно изменить отношения Фонда, Грантополучателя и Организации и сделать невозможной реализацию Проекта, Фонд, Грантополучатель и Организация имеют право в одностороннем порядке расторгнуть Договор, при условии, что будут соблюдены интересы других участников и, в необходимых случаях, произведены все взаиморасчеты. </w:t>
      </w:r>
    </w:p>
    <w:p w:rsidR="00631E1B" w:rsidRPr="005015D0" w:rsidRDefault="00631E1B" w:rsidP="00631E1B">
      <w:pPr>
        <w:spacing w:line="384" w:lineRule="auto"/>
        <w:rPr>
          <w:rFonts w:ascii="Verdana" w:eastAsia="Times New Roman" w:hAnsi="Verdana" w:cs="Tahoma"/>
          <w:sz w:val="20"/>
          <w:szCs w:val="20"/>
          <w:lang w:eastAsia="ru-RU"/>
        </w:rPr>
      </w:pPr>
      <w:r w:rsidRPr="005015D0">
        <w:rPr>
          <w:rFonts w:ascii="Verdana" w:eastAsia="Times New Roman" w:hAnsi="Verdana" w:cs="Tahoma"/>
          <w:sz w:val="20"/>
          <w:szCs w:val="20"/>
          <w:lang w:eastAsia="ru-RU"/>
        </w:rPr>
        <w:lastRenderedPageBreak/>
        <w:t>7.4. Все споры и разногласия в связи с выполнением работ по Проекту Фонд, Грантополучатель и Организация будут разрешать, исходя из принципа совместной (общей) заинтересованности в получении научного результата.</w:t>
      </w:r>
    </w:p>
    <w:p w:rsidR="00710C26" w:rsidRPr="005015D0" w:rsidRDefault="00710C26"/>
    <w:sectPr w:rsidR="00710C26" w:rsidRPr="005015D0">
      <w:headerReference w:type="even" r:id="rId24"/>
      <w:headerReference w:type="default" r:id="rId25"/>
      <w:footerReference w:type="even" r:id="rId26"/>
      <w:footerReference w:type="default" r:id="rId27"/>
      <w:headerReference w:type="first" r:id="rId28"/>
      <w:footerReference w:type="firs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B6B" w:rsidRDefault="000D1B6B" w:rsidP="000D1B6B">
      <w:pPr>
        <w:spacing w:after="0" w:line="240" w:lineRule="auto"/>
      </w:pPr>
      <w:r>
        <w:separator/>
      </w:r>
    </w:p>
  </w:endnote>
  <w:endnote w:type="continuationSeparator" w:id="0">
    <w:p w:rsidR="000D1B6B" w:rsidRDefault="000D1B6B" w:rsidP="000D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B6B" w:rsidRDefault="000D1B6B" w:rsidP="000D1B6B">
      <w:pPr>
        <w:spacing w:after="0" w:line="240" w:lineRule="auto"/>
      </w:pPr>
      <w:r>
        <w:separator/>
      </w:r>
    </w:p>
  </w:footnote>
  <w:footnote w:type="continuationSeparator" w:id="0">
    <w:p w:rsidR="000D1B6B" w:rsidRDefault="000D1B6B" w:rsidP="000D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6B" w:rsidRDefault="000D1B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52C"/>
    <w:multiLevelType w:val="multilevel"/>
    <w:tmpl w:val="CA3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C94F52"/>
    <w:multiLevelType w:val="multilevel"/>
    <w:tmpl w:val="61C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1B"/>
    <w:rsid w:val="00003847"/>
    <w:rsid w:val="0002560B"/>
    <w:rsid w:val="00055F89"/>
    <w:rsid w:val="00067D83"/>
    <w:rsid w:val="0007043C"/>
    <w:rsid w:val="000708AD"/>
    <w:rsid w:val="000747ED"/>
    <w:rsid w:val="00076E75"/>
    <w:rsid w:val="00083BDD"/>
    <w:rsid w:val="00092397"/>
    <w:rsid w:val="000B148A"/>
    <w:rsid w:val="000B58C6"/>
    <w:rsid w:val="000B67F6"/>
    <w:rsid w:val="000D1B6B"/>
    <w:rsid w:val="000D5158"/>
    <w:rsid w:val="000E1490"/>
    <w:rsid w:val="000E4373"/>
    <w:rsid w:val="000F00DB"/>
    <w:rsid w:val="001073DE"/>
    <w:rsid w:val="0012629D"/>
    <w:rsid w:val="00126503"/>
    <w:rsid w:val="00143F27"/>
    <w:rsid w:val="00146F58"/>
    <w:rsid w:val="00173EB1"/>
    <w:rsid w:val="001749AE"/>
    <w:rsid w:val="00195FB2"/>
    <w:rsid w:val="001C5095"/>
    <w:rsid w:val="001D5487"/>
    <w:rsid w:val="001F14B6"/>
    <w:rsid w:val="001F162F"/>
    <w:rsid w:val="001F19A3"/>
    <w:rsid w:val="00206558"/>
    <w:rsid w:val="00207006"/>
    <w:rsid w:val="0021323B"/>
    <w:rsid w:val="00223BB4"/>
    <w:rsid w:val="00231E63"/>
    <w:rsid w:val="00234032"/>
    <w:rsid w:val="002415BA"/>
    <w:rsid w:val="002467F2"/>
    <w:rsid w:val="002631E8"/>
    <w:rsid w:val="00286159"/>
    <w:rsid w:val="00293F9E"/>
    <w:rsid w:val="002A13E5"/>
    <w:rsid w:val="002A5027"/>
    <w:rsid w:val="002B2B38"/>
    <w:rsid w:val="002E4552"/>
    <w:rsid w:val="00311E2F"/>
    <w:rsid w:val="0031692C"/>
    <w:rsid w:val="00331FEC"/>
    <w:rsid w:val="00345D63"/>
    <w:rsid w:val="00363277"/>
    <w:rsid w:val="00373D6F"/>
    <w:rsid w:val="003A20B3"/>
    <w:rsid w:val="003B669D"/>
    <w:rsid w:val="003C03B8"/>
    <w:rsid w:val="003C35BA"/>
    <w:rsid w:val="003C4D35"/>
    <w:rsid w:val="003E4A49"/>
    <w:rsid w:val="0042164D"/>
    <w:rsid w:val="00422892"/>
    <w:rsid w:val="004670D4"/>
    <w:rsid w:val="00472E1C"/>
    <w:rsid w:val="0048361D"/>
    <w:rsid w:val="00483727"/>
    <w:rsid w:val="00484623"/>
    <w:rsid w:val="0049493E"/>
    <w:rsid w:val="004A086E"/>
    <w:rsid w:val="004B1BDB"/>
    <w:rsid w:val="004B2913"/>
    <w:rsid w:val="004B36AC"/>
    <w:rsid w:val="004C32A2"/>
    <w:rsid w:val="004D1C82"/>
    <w:rsid w:val="005009FC"/>
    <w:rsid w:val="005015D0"/>
    <w:rsid w:val="00516CBF"/>
    <w:rsid w:val="0052492E"/>
    <w:rsid w:val="005353B4"/>
    <w:rsid w:val="005436C2"/>
    <w:rsid w:val="0054695F"/>
    <w:rsid w:val="00560415"/>
    <w:rsid w:val="005663C8"/>
    <w:rsid w:val="00573E7A"/>
    <w:rsid w:val="00586A5D"/>
    <w:rsid w:val="005875BE"/>
    <w:rsid w:val="005969A5"/>
    <w:rsid w:val="005B71A3"/>
    <w:rsid w:val="005C1CD3"/>
    <w:rsid w:val="005C34D8"/>
    <w:rsid w:val="005D1B8C"/>
    <w:rsid w:val="005F3DDE"/>
    <w:rsid w:val="00602170"/>
    <w:rsid w:val="0061329B"/>
    <w:rsid w:val="00616395"/>
    <w:rsid w:val="00617C42"/>
    <w:rsid w:val="00631E1B"/>
    <w:rsid w:val="006441D6"/>
    <w:rsid w:val="00645A57"/>
    <w:rsid w:val="0067423D"/>
    <w:rsid w:val="006802F9"/>
    <w:rsid w:val="00693040"/>
    <w:rsid w:val="006A3C7E"/>
    <w:rsid w:val="006A7E5B"/>
    <w:rsid w:val="006C30FF"/>
    <w:rsid w:val="007065B5"/>
    <w:rsid w:val="00710C26"/>
    <w:rsid w:val="00730068"/>
    <w:rsid w:val="00731CCA"/>
    <w:rsid w:val="0074291D"/>
    <w:rsid w:val="0075038E"/>
    <w:rsid w:val="00752721"/>
    <w:rsid w:val="007539E1"/>
    <w:rsid w:val="00755391"/>
    <w:rsid w:val="00785E2A"/>
    <w:rsid w:val="00792067"/>
    <w:rsid w:val="007A6768"/>
    <w:rsid w:val="007B4F30"/>
    <w:rsid w:val="007D08C2"/>
    <w:rsid w:val="008073C7"/>
    <w:rsid w:val="00815218"/>
    <w:rsid w:val="00837F99"/>
    <w:rsid w:val="0084429B"/>
    <w:rsid w:val="00845241"/>
    <w:rsid w:val="00854791"/>
    <w:rsid w:val="00860360"/>
    <w:rsid w:val="0086664D"/>
    <w:rsid w:val="008745F5"/>
    <w:rsid w:val="00881749"/>
    <w:rsid w:val="008C2FA9"/>
    <w:rsid w:val="008E76C5"/>
    <w:rsid w:val="008F0E14"/>
    <w:rsid w:val="008F1BD4"/>
    <w:rsid w:val="00901419"/>
    <w:rsid w:val="0090351A"/>
    <w:rsid w:val="00911E0A"/>
    <w:rsid w:val="00921742"/>
    <w:rsid w:val="00930430"/>
    <w:rsid w:val="009417C9"/>
    <w:rsid w:val="00960A8E"/>
    <w:rsid w:val="009614AC"/>
    <w:rsid w:val="00967F82"/>
    <w:rsid w:val="0097730F"/>
    <w:rsid w:val="009A30F6"/>
    <w:rsid w:val="009C0158"/>
    <w:rsid w:val="009C3E16"/>
    <w:rsid w:val="009C4AA6"/>
    <w:rsid w:val="009D1BEA"/>
    <w:rsid w:val="009D55E8"/>
    <w:rsid w:val="009E732D"/>
    <w:rsid w:val="00A04A43"/>
    <w:rsid w:val="00A10A6E"/>
    <w:rsid w:val="00A132E3"/>
    <w:rsid w:val="00A1393C"/>
    <w:rsid w:val="00A34A1E"/>
    <w:rsid w:val="00A933F1"/>
    <w:rsid w:val="00AA20BA"/>
    <w:rsid w:val="00AA6FD7"/>
    <w:rsid w:val="00AB2AB8"/>
    <w:rsid w:val="00AC2195"/>
    <w:rsid w:val="00AD7987"/>
    <w:rsid w:val="00AE7B87"/>
    <w:rsid w:val="00B06B84"/>
    <w:rsid w:val="00B43278"/>
    <w:rsid w:val="00B506C9"/>
    <w:rsid w:val="00B66BCF"/>
    <w:rsid w:val="00B76F89"/>
    <w:rsid w:val="00B863A5"/>
    <w:rsid w:val="00B97F6C"/>
    <w:rsid w:val="00BA502B"/>
    <w:rsid w:val="00BB5F16"/>
    <w:rsid w:val="00BD08E1"/>
    <w:rsid w:val="00BD360A"/>
    <w:rsid w:val="00BD7C56"/>
    <w:rsid w:val="00BF133E"/>
    <w:rsid w:val="00C144C0"/>
    <w:rsid w:val="00C33BB5"/>
    <w:rsid w:val="00C427F9"/>
    <w:rsid w:val="00C67C04"/>
    <w:rsid w:val="00C72F3E"/>
    <w:rsid w:val="00C81220"/>
    <w:rsid w:val="00C839D1"/>
    <w:rsid w:val="00C8700A"/>
    <w:rsid w:val="00C93018"/>
    <w:rsid w:val="00CA38BE"/>
    <w:rsid w:val="00CA5AB8"/>
    <w:rsid w:val="00CC26B3"/>
    <w:rsid w:val="00CC51EC"/>
    <w:rsid w:val="00D2257B"/>
    <w:rsid w:val="00D33D8E"/>
    <w:rsid w:val="00D57BBB"/>
    <w:rsid w:val="00D57E26"/>
    <w:rsid w:val="00D81B24"/>
    <w:rsid w:val="00DB025A"/>
    <w:rsid w:val="00E03176"/>
    <w:rsid w:val="00E24BD4"/>
    <w:rsid w:val="00E47AAE"/>
    <w:rsid w:val="00EB2B35"/>
    <w:rsid w:val="00EB7B9C"/>
    <w:rsid w:val="00EC5A09"/>
    <w:rsid w:val="00ED62B9"/>
    <w:rsid w:val="00EF6929"/>
    <w:rsid w:val="00F26EEA"/>
    <w:rsid w:val="00F32238"/>
    <w:rsid w:val="00F3246E"/>
    <w:rsid w:val="00F44889"/>
    <w:rsid w:val="00F45563"/>
    <w:rsid w:val="00F54BA9"/>
    <w:rsid w:val="00F54F14"/>
    <w:rsid w:val="00F623C3"/>
    <w:rsid w:val="00F879EB"/>
    <w:rsid w:val="00F94D93"/>
    <w:rsid w:val="00FB1F19"/>
    <w:rsid w:val="00FB2A44"/>
    <w:rsid w:val="00FB2CFC"/>
    <w:rsid w:val="00FD0DA4"/>
    <w:rsid w:val="00FE4FC8"/>
    <w:rsid w:val="00FE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E1B"/>
    <w:rPr>
      <w:color w:val="003C88"/>
      <w:u w:val="single"/>
    </w:rPr>
  </w:style>
  <w:style w:type="paragraph" w:styleId="a4">
    <w:name w:val="Normal (Web)"/>
    <w:basedOn w:val="a"/>
    <w:uiPriority w:val="99"/>
    <w:semiHidden/>
    <w:unhideWhenUsed/>
    <w:rsid w:val="00631E1B"/>
    <w:pPr>
      <w:spacing w:before="100" w:beforeAutospacing="1" w:after="100" w:afterAutospacing="1" w:line="384" w:lineRule="auto"/>
    </w:pPr>
    <w:rPr>
      <w:rFonts w:ascii="Verdana" w:eastAsia="Times New Roman" w:hAnsi="Verdana" w:cs="Times New Roman"/>
      <w:sz w:val="20"/>
      <w:szCs w:val="20"/>
      <w:lang w:eastAsia="ru-RU"/>
    </w:rPr>
  </w:style>
  <w:style w:type="paragraph" w:styleId="z-">
    <w:name w:val="HTML Top of Form"/>
    <w:basedOn w:val="a"/>
    <w:next w:val="a"/>
    <w:link w:val="z-0"/>
    <w:hidden/>
    <w:uiPriority w:val="99"/>
    <w:semiHidden/>
    <w:unhideWhenUsed/>
    <w:rsid w:val="00631E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1E1B"/>
    <w:rPr>
      <w:rFonts w:ascii="Arial" w:eastAsia="Times New Roman" w:hAnsi="Arial" w:cs="Arial"/>
      <w:vanish/>
      <w:sz w:val="16"/>
      <w:szCs w:val="16"/>
      <w:lang w:eastAsia="ru-RU"/>
    </w:rPr>
  </w:style>
  <w:style w:type="character" w:customStyle="1" w:styleId="b-date-picker">
    <w:name w:val="b-date-picker"/>
    <w:basedOn w:val="a0"/>
    <w:rsid w:val="00631E1B"/>
  </w:style>
  <w:style w:type="paragraph" w:styleId="z-1">
    <w:name w:val="HTML Bottom of Form"/>
    <w:basedOn w:val="a"/>
    <w:next w:val="a"/>
    <w:link w:val="z-2"/>
    <w:hidden/>
    <w:uiPriority w:val="99"/>
    <w:semiHidden/>
    <w:unhideWhenUsed/>
    <w:rsid w:val="00631E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1E1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31E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E1B"/>
    <w:rPr>
      <w:rFonts w:ascii="Tahoma" w:hAnsi="Tahoma" w:cs="Tahoma"/>
      <w:sz w:val="16"/>
      <w:szCs w:val="16"/>
    </w:rPr>
  </w:style>
  <w:style w:type="paragraph" w:styleId="a7">
    <w:name w:val="header"/>
    <w:basedOn w:val="a"/>
    <w:link w:val="a8"/>
    <w:uiPriority w:val="99"/>
    <w:unhideWhenUsed/>
    <w:rsid w:val="000D1B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1B6B"/>
  </w:style>
  <w:style w:type="paragraph" w:styleId="a9">
    <w:name w:val="footer"/>
    <w:basedOn w:val="a"/>
    <w:link w:val="aa"/>
    <w:uiPriority w:val="99"/>
    <w:unhideWhenUsed/>
    <w:rsid w:val="000D1B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1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1E1B"/>
    <w:rPr>
      <w:color w:val="003C88"/>
      <w:u w:val="single"/>
    </w:rPr>
  </w:style>
  <w:style w:type="paragraph" w:styleId="a4">
    <w:name w:val="Normal (Web)"/>
    <w:basedOn w:val="a"/>
    <w:uiPriority w:val="99"/>
    <w:semiHidden/>
    <w:unhideWhenUsed/>
    <w:rsid w:val="00631E1B"/>
    <w:pPr>
      <w:spacing w:before="100" w:beforeAutospacing="1" w:after="100" w:afterAutospacing="1" w:line="384" w:lineRule="auto"/>
    </w:pPr>
    <w:rPr>
      <w:rFonts w:ascii="Verdana" w:eastAsia="Times New Roman" w:hAnsi="Verdana" w:cs="Times New Roman"/>
      <w:sz w:val="20"/>
      <w:szCs w:val="20"/>
      <w:lang w:eastAsia="ru-RU"/>
    </w:rPr>
  </w:style>
  <w:style w:type="paragraph" w:styleId="z-">
    <w:name w:val="HTML Top of Form"/>
    <w:basedOn w:val="a"/>
    <w:next w:val="a"/>
    <w:link w:val="z-0"/>
    <w:hidden/>
    <w:uiPriority w:val="99"/>
    <w:semiHidden/>
    <w:unhideWhenUsed/>
    <w:rsid w:val="00631E1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1E1B"/>
    <w:rPr>
      <w:rFonts w:ascii="Arial" w:eastAsia="Times New Roman" w:hAnsi="Arial" w:cs="Arial"/>
      <w:vanish/>
      <w:sz w:val="16"/>
      <w:szCs w:val="16"/>
      <w:lang w:eastAsia="ru-RU"/>
    </w:rPr>
  </w:style>
  <w:style w:type="character" w:customStyle="1" w:styleId="b-date-picker">
    <w:name w:val="b-date-picker"/>
    <w:basedOn w:val="a0"/>
    <w:rsid w:val="00631E1B"/>
  </w:style>
  <w:style w:type="paragraph" w:styleId="z-1">
    <w:name w:val="HTML Bottom of Form"/>
    <w:basedOn w:val="a"/>
    <w:next w:val="a"/>
    <w:link w:val="z-2"/>
    <w:hidden/>
    <w:uiPriority w:val="99"/>
    <w:semiHidden/>
    <w:unhideWhenUsed/>
    <w:rsid w:val="00631E1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1E1B"/>
    <w:rPr>
      <w:rFonts w:ascii="Arial" w:eastAsia="Times New Roman" w:hAnsi="Arial" w:cs="Arial"/>
      <w:vanish/>
      <w:sz w:val="16"/>
      <w:szCs w:val="16"/>
      <w:lang w:eastAsia="ru-RU"/>
    </w:rPr>
  </w:style>
  <w:style w:type="paragraph" w:styleId="a5">
    <w:name w:val="Balloon Text"/>
    <w:basedOn w:val="a"/>
    <w:link w:val="a6"/>
    <w:uiPriority w:val="99"/>
    <w:semiHidden/>
    <w:unhideWhenUsed/>
    <w:rsid w:val="00631E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1E1B"/>
    <w:rPr>
      <w:rFonts w:ascii="Tahoma" w:hAnsi="Tahoma" w:cs="Tahoma"/>
      <w:sz w:val="16"/>
      <w:szCs w:val="16"/>
    </w:rPr>
  </w:style>
  <w:style w:type="paragraph" w:styleId="a7">
    <w:name w:val="header"/>
    <w:basedOn w:val="a"/>
    <w:link w:val="a8"/>
    <w:uiPriority w:val="99"/>
    <w:unhideWhenUsed/>
    <w:rsid w:val="000D1B6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1B6B"/>
  </w:style>
  <w:style w:type="paragraph" w:styleId="a9">
    <w:name w:val="footer"/>
    <w:basedOn w:val="a"/>
    <w:link w:val="aa"/>
    <w:uiPriority w:val="99"/>
    <w:unhideWhenUsed/>
    <w:rsid w:val="000D1B6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1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84527">
      <w:bodyDiv w:val="1"/>
      <w:marLeft w:val="0"/>
      <w:marRight w:val="0"/>
      <w:marTop w:val="0"/>
      <w:marBottom w:val="0"/>
      <w:divBdr>
        <w:top w:val="none" w:sz="0" w:space="0" w:color="auto"/>
        <w:left w:val="none" w:sz="0" w:space="0" w:color="auto"/>
        <w:bottom w:val="none" w:sz="0" w:space="0" w:color="auto"/>
        <w:right w:val="none" w:sz="0" w:space="0" w:color="auto"/>
      </w:divBdr>
      <w:divsChild>
        <w:div w:id="843935851">
          <w:marLeft w:val="0"/>
          <w:marRight w:val="0"/>
          <w:marTop w:val="0"/>
          <w:marBottom w:val="0"/>
          <w:divBdr>
            <w:top w:val="none" w:sz="0" w:space="0" w:color="auto"/>
            <w:left w:val="none" w:sz="0" w:space="0" w:color="auto"/>
            <w:bottom w:val="none" w:sz="0" w:space="0" w:color="auto"/>
            <w:right w:val="none" w:sz="0" w:space="0" w:color="auto"/>
          </w:divBdr>
          <w:divsChild>
            <w:div w:id="1974093420">
              <w:marLeft w:val="0"/>
              <w:marRight w:val="0"/>
              <w:marTop w:val="0"/>
              <w:marBottom w:val="0"/>
              <w:divBdr>
                <w:top w:val="none" w:sz="0" w:space="0" w:color="auto"/>
                <w:left w:val="none" w:sz="0" w:space="0" w:color="auto"/>
                <w:bottom w:val="none" w:sz="0" w:space="0" w:color="auto"/>
                <w:right w:val="none" w:sz="0" w:space="0" w:color="auto"/>
              </w:divBdr>
              <w:divsChild>
                <w:div w:id="365374403">
                  <w:marLeft w:val="0"/>
                  <w:marRight w:val="0"/>
                  <w:marTop w:val="0"/>
                  <w:marBottom w:val="0"/>
                  <w:divBdr>
                    <w:top w:val="none" w:sz="0" w:space="0" w:color="auto"/>
                    <w:left w:val="none" w:sz="0" w:space="0" w:color="auto"/>
                    <w:bottom w:val="none" w:sz="0" w:space="0" w:color="auto"/>
                    <w:right w:val="none" w:sz="0" w:space="0" w:color="auto"/>
                  </w:divBdr>
                  <w:divsChild>
                    <w:div w:id="100497677">
                      <w:marLeft w:val="225"/>
                      <w:marRight w:val="0"/>
                      <w:marTop w:val="300"/>
                      <w:marBottom w:val="300"/>
                      <w:divBdr>
                        <w:top w:val="none" w:sz="0" w:space="0" w:color="auto"/>
                        <w:left w:val="none" w:sz="0" w:space="0" w:color="auto"/>
                        <w:bottom w:val="none" w:sz="0" w:space="0" w:color="auto"/>
                        <w:right w:val="none" w:sz="0" w:space="0" w:color="auto"/>
                      </w:divBdr>
                      <w:divsChild>
                        <w:div w:id="1070035970">
                          <w:marLeft w:val="0"/>
                          <w:marRight w:val="0"/>
                          <w:marTop w:val="0"/>
                          <w:marBottom w:val="300"/>
                          <w:divBdr>
                            <w:top w:val="none" w:sz="0" w:space="0" w:color="auto"/>
                            <w:left w:val="none" w:sz="0" w:space="0" w:color="auto"/>
                            <w:bottom w:val="none" w:sz="0" w:space="0" w:color="auto"/>
                            <w:right w:val="none" w:sz="0" w:space="0" w:color="auto"/>
                          </w:divBdr>
                          <w:divsChild>
                            <w:div w:id="1548640321">
                              <w:marLeft w:val="0"/>
                              <w:marRight w:val="0"/>
                              <w:marTop w:val="0"/>
                              <w:marBottom w:val="0"/>
                              <w:divBdr>
                                <w:top w:val="none" w:sz="0" w:space="0" w:color="auto"/>
                                <w:left w:val="none" w:sz="0" w:space="0" w:color="auto"/>
                                <w:bottom w:val="none" w:sz="0" w:space="0" w:color="auto"/>
                                <w:right w:val="none" w:sz="0" w:space="0" w:color="auto"/>
                              </w:divBdr>
                            </w:div>
                          </w:divsChild>
                        </w:div>
                        <w:div w:id="1346860520">
                          <w:marLeft w:val="0"/>
                          <w:marRight w:val="375"/>
                          <w:marTop w:val="0"/>
                          <w:marBottom w:val="0"/>
                          <w:divBdr>
                            <w:top w:val="none" w:sz="0" w:space="0" w:color="auto"/>
                            <w:left w:val="none" w:sz="0" w:space="0" w:color="auto"/>
                            <w:bottom w:val="none" w:sz="0" w:space="0" w:color="auto"/>
                            <w:right w:val="none" w:sz="0" w:space="0" w:color="auto"/>
                          </w:divBdr>
                          <w:divsChild>
                            <w:div w:id="1472558384">
                              <w:marLeft w:val="0"/>
                              <w:marRight w:val="0"/>
                              <w:marTop w:val="0"/>
                              <w:marBottom w:val="0"/>
                              <w:divBdr>
                                <w:top w:val="none" w:sz="0" w:space="0" w:color="auto"/>
                                <w:left w:val="none" w:sz="0" w:space="0" w:color="auto"/>
                                <w:bottom w:val="none" w:sz="0" w:space="0" w:color="auto"/>
                                <w:right w:val="none" w:sz="0" w:space="0" w:color="auto"/>
                              </w:divBdr>
                              <w:divsChild>
                                <w:div w:id="1073235094">
                                  <w:marLeft w:val="0"/>
                                  <w:marRight w:val="0"/>
                                  <w:marTop w:val="0"/>
                                  <w:marBottom w:val="0"/>
                                  <w:divBdr>
                                    <w:top w:val="none" w:sz="0" w:space="0" w:color="auto"/>
                                    <w:left w:val="none" w:sz="0" w:space="0" w:color="auto"/>
                                    <w:bottom w:val="none" w:sz="0" w:space="0" w:color="auto"/>
                                    <w:right w:val="none" w:sz="0" w:space="0" w:color="auto"/>
                                  </w:divBdr>
                                  <w:divsChild>
                                    <w:div w:id="14874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19092">
                          <w:marLeft w:val="0"/>
                          <w:marRight w:val="0"/>
                          <w:marTop w:val="0"/>
                          <w:marBottom w:val="150"/>
                          <w:divBdr>
                            <w:top w:val="none" w:sz="0" w:space="0" w:color="auto"/>
                            <w:left w:val="none" w:sz="0" w:space="0" w:color="auto"/>
                            <w:bottom w:val="none" w:sz="0" w:space="0" w:color="auto"/>
                            <w:right w:val="none" w:sz="0" w:space="0" w:color="auto"/>
                          </w:divBdr>
                          <w:divsChild>
                            <w:div w:id="1880126029">
                              <w:marLeft w:val="75"/>
                              <w:marRight w:val="75"/>
                              <w:marTop w:val="0"/>
                              <w:marBottom w:val="0"/>
                              <w:divBdr>
                                <w:top w:val="none" w:sz="0" w:space="0" w:color="auto"/>
                                <w:left w:val="none" w:sz="0" w:space="0" w:color="auto"/>
                                <w:bottom w:val="none" w:sz="0" w:space="0" w:color="auto"/>
                                <w:right w:val="none" w:sz="0" w:space="0" w:color="auto"/>
                              </w:divBdr>
                              <w:divsChild>
                                <w:div w:id="1811362869">
                                  <w:marLeft w:val="0"/>
                                  <w:marRight w:val="0"/>
                                  <w:marTop w:val="0"/>
                                  <w:marBottom w:val="0"/>
                                  <w:divBdr>
                                    <w:top w:val="none" w:sz="0" w:space="0" w:color="auto"/>
                                    <w:left w:val="none" w:sz="0" w:space="0" w:color="auto"/>
                                    <w:bottom w:val="none" w:sz="0" w:space="0" w:color="auto"/>
                                    <w:right w:val="none" w:sz="0" w:space="0" w:color="auto"/>
                                  </w:divBdr>
                                  <w:divsChild>
                                    <w:div w:id="529875460">
                                      <w:marLeft w:val="0"/>
                                      <w:marRight w:val="0"/>
                                      <w:marTop w:val="150"/>
                                      <w:marBottom w:val="150"/>
                                      <w:divBdr>
                                        <w:top w:val="none" w:sz="0" w:space="0" w:color="auto"/>
                                        <w:left w:val="none" w:sz="0" w:space="0" w:color="auto"/>
                                        <w:bottom w:val="none" w:sz="0" w:space="0" w:color="auto"/>
                                        <w:right w:val="none" w:sz="0" w:space="0" w:color="auto"/>
                                      </w:divBdr>
                                      <w:divsChild>
                                        <w:div w:id="392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2252">
                              <w:marLeft w:val="0"/>
                              <w:marRight w:val="0"/>
                              <w:marTop w:val="0"/>
                              <w:marBottom w:val="0"/>
                              <w:divBdr>
                                <w:top w:val="none" w:sz="0" w:space="0" w:color="auto"/>
                                <w:left w:val="none" w:sz="0" w:space="0" w:color="auto"/>
                                <w:bottom w:val="none" w:sz="0" w:space="0" w:color="auto"/>
                                <w:right w:val="none" w:sz="0" w:space="0" w:color="auto"/>
                              </w:divBdr>
                            </w:div>
                            <w:div w:id="2123375987">
                              <w:marLeft w:val="0"/>
                              <w:marRight w:val="0"/>
                              <w:marTop w:val="0"/>
                              <w:marBottom w:val="0"/>
                              <w:divBdr>
                                <w:top w:val="none" w:sz="0" w:space="0" w:color="auto"/>
                                <w:left w:val="none" w:sz="0" w:space="0" w:color="auto"/>
                                <w:bottom w:val="none" w:sz="0" w:space="0" w:color="auto"/>
                                <w:right w:val="none" w:sz="0" w:space="0" w:color="auto"/>
                              </w:divBdr>
                              <w:divsChild>
                                <w:div w:id="582420458">
                                  <w:marLeft w:val="0"/>
                                  <w:marRight w:val="0"/>
                                  <w:marTop w:val="0"/>
                                  <w:marBottom w:val="0"/>
                                  <w:divBdr>
                                    <w:top w:val="none" w:sz="0" w:space="0" w:color="auto"/>
                                    <w:left w:val="none" w:sz="0" w:space="0" w:color="auto"/>
                                    <w:bottom w:val="none" w:sz="0" w:space="0" w:color="auto"/>
                                    <w:right w:val="none" w:sz="0" w:space="0" w:color="auto"/>
                                  </w:divBdr>
                                </w:div>
                                <w:div w:id="958296345">
                                  <w:marLeft w:val="0"/>
                                  <w:marRight w:val="0"/>
                                  <w:marTop w:val="0"/>
                                  <w:marBottom w:val="0"/>
                                  <w:divBdr>
                                    <w:top w:val="none" w:sz="0" w:space="0" w:color="auto"/>
                                    <w:left w:val="none" w:sz="0" w:space="0" w:color="auto"/>
                                    <w:bottom w:val="none" w:sz="0" w:space="0" w:color="auto"/>
                                    <w:right w:val="none" w:sz="0" w:space="0" w:color="auto"/>
                                  </w:divBdr>
                                </w:div>
                                <w:div w:id="1795830938">
                                  <w:marLeft w:val="0"/>
                                  <w:marRight w:val="0"/>
                                  <w:marTop w:val="0"/>
                                  <w:marBottom w:val="0"/>
                                  <w:divBdr>
                                    <w:top w:val="none" w:sz="0" w:space="0" w:color="auto"/>
                                    <w:left w:val="none" w:sz="0" w:space="0" w:color="auto"/>
                                    <w:bottom w:val="none" w:sz="0" w:space="0" w:color="auto"/>
                                    <w:right w:val="none" w:sz="0" w:space="0" w:color="auto"/>
                                  </w:divBdr>
                                </w:div>
                                <w:div w:id="538661823">
                                  <w:marLeft w:val="0"/>
                                  <w:marRight w:val="0"/>
                                  <w:marTop w:val="0"/>
                                  <w:marBottom w:val="0"/>
                                  <w:divBdr>
                                    <w:top w:val="none" w:sz="0" w:space="0" w:color="auto"/>
                                    <w:left w:val="none" w:sz="0" w:space="0" w:color="auto"/>
                                    <w:bottom w:val="none" w:sz="0" w:space="0" w:color="auto"/>
                                    <w:right w:val="none" w:sz="0" w:space="0" w:color="auto"/>
                                  </w:divBdr>
                                </w:div>
                                <w:div w:id="2016180069">
                                  <w:marLeft w:val="0"/>
                                  <w:marRight w:val="0"/>
                                  <w:marTop w:val="0"/>
                                  <w:marBottom w:val="0"/>
                                  <w:divBdr>
                                    <w:top w:val="none" w:sz="0" w:space="0" w:color="auto"/>
                                    <w:left w:val="none" w:sz="0" w:space="0" w:color="auto"/>
                                    <w:bottom w:val="none" w:sz="0" w:space="0" w:color="auto"/>
                                    <w:right w:val="none" w:sz="0" w:space="0" w:color="auto"/>
                                  </w:divBdr>
                                </w:div>
                                <w:div w:id="2073502411">
                                  <w:marLeft w:val="0"/>
                                  <w:marRight w:val="0"/>
                                  <w:marTop w:val="0"/>
                                  <w:marBottom w:val="0"/>
                                  <w:divBdr>
                                    <w:top w:val="none" w:sz="0" w:space="0" w:color="auto"/>
                                    <w:left w:val="none" w:sz="0" w:space="0" w:color="auto"/>
                                    <w:bottom w:val="none" w:sz="0" w:space="0" w:color="auto"/>
                                    <w:right w:val="none" w:sz="0" w:space="0" w:color="auto"/>
                                  </w:divBdr>
                                </w:div>
                                <w:div w:id="1204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javascript:void(0)"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javascript:void(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https://www.audar-info.ru/docs/laws/?sectId=401191&amp;artId=1422335" TargetMode="External"/><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yperlink" Target="javascript:void(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javascript:void(0)" TargetMode="External"/><Relationship Id="rId27" Type="http://schemas.openxmlformats.org/officeDocument/2006/relationships/footer" Target="footer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3471</Words>
  <Characters>19790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Ларионов-319</dc:creator>
  <cp:lastModifiedBy>secretary</cp:lastModifiedBy>
  <cp:revision>2</cp:revision>
  <dcterms:created xsi:type="dcterms:W3CDTF">2017-04-17T07:50:00Z</dcterms:created>
  <dcterms:modified xsi:type="dcterms:W3CDTF">2017-04-17T07:50:00Z</dcterms:modified>
</cp:coreProperties>
</file>