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F2" w:rsidRPr="00D04C01" w:rsidRDefault="00D04C01" w:rsidP="00D04C01">
      <w:pPr>
        <w:spacing w:line="360" w:lineRule="auto"/>
        <w:jc w:val="center"/>
        <w:rPr>
          <w:b/>
          <w:lang w:val="en-GB"/>
        </w:rPr>
      </w:pPr>
      <w:bookmarkStart w:id="0" w:name="_GoBack"/>
      <w:r w:rsidRPr="00D04C01">
        <w:rPr>
          <w:b/>
          <w:lang w:val="en-GB"/>
        </w:rPr>
        <w:t>MODERN METHODS OF INCREASING THE EFFICIENCY AND RELIABILITY OF TURBINE PLANTS</w:t>
      </w:r>
    </w:p>
    <w:bookmarkEnd w:id="0"/>
    <w:p w:rsidR="00791DF2" w:rsidRPr="00712DCA" w:rsidRDefault="00791DF2" w:rsidP="00791DF2">
      <w:pPr>
        <w:pStyle w:val="1"/>
        <w:jc w:val="left"/>
        <w:rPr>
          <w:lang w:val="en-GB"/>
        </w:rPr>
      </w:pPr>
      <w:r w:rsidRPr="00712DCA">
        <w:rPr>
          <w:lang w:val="en-GB"/>
        </w:rPr>
        <w:t xml:space="preserve">GENERAL DESCRIPTION OF THE DISCIPLINE </w:t>
      </w:r>
    </w:p>
    <w:p w:rsidR="00791DF2" w:rsidRPr="00712DCA" w:rsidRDefault="00791DF2" w:rsidP="00791DF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  <w:r w:rsidRPr="00712DCA">
        <w:rPr>
          <w:rFonts w:ascii="Times New Roman" w:hAnsi="Times New Roman" w:cs="Times New Roman"/>
          <w:sz w:val="24"/>
          <w:szCs w:val="24"/>
          <w:lang w:val="en-GB"/>
        </w:rPr>
        <w:t>The work programme of the discipline is compiled according to the Federal State Higher Professional Education Standards</w:t>
      </w:r>
    </w:p>
    <w:p w:rsidR="00791DF2" w:rsidRPr="00712DCA" w:rsidRDefault="00791DF2" w:rsidP="00791DF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5"/>
        <w:gridCol w:w="3776"/>
        <w:gridCol w:w="1529"/>
        <w:gridCol w:w="1709"/>
      </w:tblGrid>
      <w:tr w:rsidR="00791DF2" w:rsidRPr="00D04C01" w:rsidTr="00A01AC8"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F2" w:rsidRPr="00712DCA" w:rsidRDefault="00791DF2" w:rsidP="00A01AC8">
            <w:pPr>
              <w:rPr>
                <w:b/>
                <w:bCs/>
                <w:lang w:val="en-GB"/>
              </w:rPr>
            </w:pPr>
            <w:r w:rsidRPr="00712DCA">
              <w:rPr>
                <w:rStyle w:val="12pt"/>
                <w:rFonts w:eastAsia="Courier New"/>
                <w:lang w:val="en-GB"/>
              </w:rPr>
              <w:t>Code of the field of study and attainment level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F2" w:rsidRPr="00712DCA" w:rsidRDefault="00791DF2" w:rsidP="00A01AC8">
            <w:pPr>
              <w:jc w:val="center"/>
              <w:rPr>
                <w:b/>
                <w:bCs/>
                <w:lang w:val="en-GB"/>
              </w:rPr>
            </w:pPr>
            <w:r w:rsidRPr="00712DCA">
              <w:rPr>
                <w:rStyle w:val="12pt"/>
                <w:rFonts w:eastAsia="Courier New"/>
                <w:lang w:val="en-GB"/>
              </w:rPr>
              <w:t>Field of study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DF2" w:rsidRPr="00712DCA" w:rsidRDefault="00791DF2" w:rsidP="00A01AC8">
            <w:pPr>
              <w:rPr>
                <w:b/>
                <w:bCs/>
                <w:lang w:val="en-GB"/>
              </w:rPr>
            </w:pPr>
            <w:r w:rsidRPr="00712DCA">
              <w:rPr>
                <w:rStyle w:val="12pt"/>
                <w:rFonts w:eastAsia="Courier New"/>
                <w:lang w:val="en-GB"/>
              </w:rPr>
              <w:t>Details of the order of the Ministry of Education and Science of the Russian Federation on approval and commissioning of the Federal State Higher Educational Standard</w:t>
            </w:r>
          </w:p>
        </w:tc>
      </w:tr>
      <w:tr w:rsidR="00791DF2" w:rsidRPr="00712DCA" w:rsidTr="00A01AC8"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F2" w:rsidRPr="00712DCA" w:rsidRDefault="00791DF2" w:rsidP="00A01AC8">
            <w:pPr>
              <w:snapToGrid w:val="0"/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F2" w:rsidRPr="00712DCA" w:rsidRDefault="00791DF2" w:rsidP="00A01AC8">
            <w:pPr>
              <w:snapToGrid w:val="0"/>
              <w:jc w:val="center"/>
              <w:rPr>
                <w:b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F2" w:rsidRPr="00712DCA" w:rsidRDefault="00791DF2" w:rsidP="00A01AC8">
            <w:pPr>
              <w:pStyle w:val="ConsPlusNormal"/>
              <w:widowControl/>
              <w:spacing w:line="271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CA">
              <w:rPr>
                <w:rStyle w:val="12pt"/>
                <w:rFonts w:eastAsia="Courier New"/>
                <w:lang w:val="en-GB"/>
              </w:rPr>
              <w:t>Date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DF2" w:rsidRPr="00712DCA" w:rsidRDefault="00791DF2" w:rsidP="00A01AC8">
            <w:pPr>
              <w:pStyle w:val="ConsPlusNormal"/>
              <w:widowControl/>
              <w:spacing w:line="271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12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Number of order</w:t>
            </w:r>
          </w:p>
        </w:tc>
      </w:tr>
      <w:tr w:rsidR="00791DF2" w:rsidRPr="00712DCA" w:rsidTr="00A01AC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F2" w:rsidRPr="00712DCA" w:rsidRDefault="00791DF2" w:rsidP="00A01AC8">
            <w:pPr>
              <w:pStyle w:val="ConsPlusNormal"/>
              <w:widowControl/>
              <w:snapToGrid w:val="0"/>
              <w:spacing w:line="27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2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13.06.01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F2" w:rsidRPr="00712DCA" w:rsidRDefault="00791DF2" w:rsidP="00A01AC8">
            <w:pPr>
              <w:pStyle w:val="ConsPlusNormal"/>
              <w:widowControl/>
              <w:snapToGrid w:val="0"/>
              <w:spacing w:line="271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Thermal</w:t>
            </w:r>
            <w:r w:rsidRPr="00712D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Engineering and Electrical Engineering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F2" w:rsidRPr="00712DCA" w:rsidRDefault="00791DF2" w:rsidP="00A01AC8">
            <w:pPr>
              <w:jc w:val="center"/>
              <w:rPr>
                <w:b/>
                <w:bCs/>
                <w:lang w:val="en-GB"/>
              </w:rPr>
            </w:pPr>
            <w:r w:rsidRPr="00712DCA">
              <w:rPr>
                <w:rStyle w:val="20"/>
                <w:rFonts w:eastAsia="Courier New"/>
                <w:b w:val="0"/>
                <w:sz w:val="24"/>
                <w:szCs w:val="24"/>
                <w:lang w:val="en-GB"/>
              </w:rPr>
              <w:t>30 July 2</w:t>
            </w:r>
            <w:r w:rsidRPr="00712DCA">
              <w:rPr>
                <w:rStyle w:val="11"/>
                <w:rFonts w:eastAsia="Courier New"/>
                <w:sz w:val="24"/>
                <w:szCs w:val="24"/>
                <w:lang w:val="en-GB"/>
              </w:rPr>
              <w:t>014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DF2" w:rsidRPr="00791DF2" w:rsidRDefault="00791DF2" w:rsidP="00A01AC8">
            <w:pPr>
              <w:pStyle w:val="ConsPlusNormal"/>
              <w:widowControl/>
              <w:snapToGrid w:val="0"/>
              <w:spacing w:line="268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878</w:t>
            </w:r>
          </w:p>
        </w:tc>
      </w:tr>
    </w:tbl>
    <w:p w:rsidR="00791DF2" w:rsidRPr="00712DCA" w:rsidRDefault="00791DF2" w:rsidP="00791DF2">
      <w:pPr>
        <w:rPr>
          <w:spacing w:val="-6"/>
          <w:lang w:val="en-GB"/>
        </w:rPr>
      </w:pPr>
    </w:p>
    <w:p w:rsidR="00791DF2" w:rsidRPr="00712DCA" w:rsidRDefault="00791DF2" w:rsidP="00791DF2">
      <w:pPr>
        <w:pStyle w:val="2"/>
        <w:rPr>
          <w:sz w:val="24"/>
          <w:szCs w:val="24"/>
          <w:lang w:val="en-GB"/>
        </w:rPr>
      </w:pPr>
      <w:r w:rsidRPr="00712DCA">
        <w:rPr>
          <w:sz w:val="24"/>
          <w:szCs w:val="24"/>
          <w:lang w:val="en-GB"/>
        </w:rPr>
        <w:t>Abstract of the discipline content</w:t>
      </w:r>
    </w:p>
    <w:p w:rsidR="00791DF2" w:rsidRPr="00712DCA" w:rsidRDefault="00791DF2" w:rsidP="00791DF2">
      <w:pPr>
        <w:rPr>
          <w:lang w:val="en-GB"/>
        </w:rPr>
      </w:pPr>
    </w:p>
    <w:p w:rsidR="00791DF2" w:rsidRPr="00712DCA" w:rsidRDefault="00791DF2" w:rsidP="00791DF2">
      <w:pPr>
        <w:ind w:firstLine="578"/>
        <w:rPr>
          <w:lang w:val="en-GB"/>
        </w:rPr>
      </w:pPr>
      <w:r w:rsidRPr="00712DCA">
        <w:rPr>
          <w:lang w:val="en-GB"/>
        </w:rPr>
        <w:t xml:space="preserve">The discipline falls under the post-graduate programme. The main goal of studying the discipline is the creation of a set of basic knowledge and practical skills for postgraduates, which allow analysing the </w:t>
      </w:r>
      <w:r>
        <w:rPr>
          <w:lang w:val="en-US"/>
        </w:rPr>
        <w:t xml:space="preserve">power engineering </w:t>
      </w:r>
      <w:r w:rsidRPr="00712DCA">
        <w:rPr>
          <w:lang w:val="en-GB"/>
        </w:rPr>
        <w:t xml:space="preserve">science and production </w:t>
      </w:r>
      <w:r>
        <w:rPr>
          <w:lang w:val="en-GB"/>
        </w:rPr>
        <w:t>problems</w:t>
      </w:r>
      <w:r w:rsidRPr="00712DCA">
        <w:rPr>
          <w:lang w:val="en-GB"/>
        </w:rPr>
        <w:t xml:space="preserve"> in tune with the times (meeting up-to-date requirements) in order to improve it.</w:t>
      </w:r>
    </w:p>
    <w:p w:rsidR="007123AD" w:rsidRPr="00D04C01" w:rsidRDefault="007123AD" w:rsidP="007123AD">
      <w:pPr>
        <w:rPr>
          <w:lang w:val="en-US"/>
        </w:rPr>
      </w:pPr>
    </w:p>
    <w:p w:rsidR="007123AD" w:rsidRPr="000476F2" w:rsidRDefault="007123AD" w:rsidP="007123AD">
      <w:pPr>
        <w:pStyle w:val="2"/>
        <w:rPr>
          <w:sz w:val="24"/>
          <w:szCs w:val="24"/>
          <w:shd w:val="clear" w:color="auto" w:fill="00FF00"/>
          <w:lang w:val="en-GB"/>
        </w:rPr>
      </w:pPr>
      <w:r w:rsidRPr="000476F2">
        <w:rPr>
          <w:sz w:val="24"/>
          <w:szCs w:val="24"/>
          <w:lang w:val="en-GB"/>
        </w:rPr>
        <w:t>Planned results of mastering the discipline</w:t>
      </w:r>
    </w:p>
    <w:p w:rsidR="007123AD" w:rsidRPr="000476F2" w:rsidRDefault="007123AD" w:rsidP="007123AD">
      <w:pPr>
        <w:ind w:firstLine="709"/>
        <w:rPr>
          <w:spacing w:val="-5"/>
          <w:lang w:val="en-GB"/>
        </w:rPr>
      </w:pPr>
      <w:r w:rsidRPr="000476F2">
        <w:rPr>
          <w:lang w:val="en-GB"/>
        </w:rPr>
        <w:t>As a result of mastering the discipline, a</w:t>
      </w:r>
      <w:r w:rsidR="00BF7C19" w:rsidRPr="00BF7C19">
        <w:rPr>
          <w:lang w:val="en-US"/>
        </w:rPr>
        <w:t xml:space="preserve"> </w:t>
      </w:r>
      <w:r w:rsidR="00BF7C19">
        <w:rPr>
          <w:lang w:val="en-US"/>
        </w:rPr>
        <w:t>postgraduate</w:t>
      </w:r>
      <w:r w:rsidRPr="000476F2">
        <w:rPr>
          <w:lang w:val="en-GB"/>
        </w:rPr>
        <w:t xml:space="preserve"> student should</w:t>
      </w:r>
      <w:r w:rsidR="00BF7C19">
        <w:rPr>
          <w:lang w:val="en-GB"/>
        </w:rPr>
        <w:t xml:space="preserve"> obtain the competencies as follows</w:t>
      </w:r>
      <w:r w:rsidRPr="000476F2">
        <w:rPr>
          <w:spacing w:val="-5"/>
          <w:lang w:val="en-GB"/>
        </w:rPr>
        <w:t>:</w:t>
      </w:r>
    </w:p>
    <w:p w:rsidR="007123AD" w:rsidRPr="000476F2" w:rsidRDefault="007123AD" w:rsidP="007123AD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4"/>
          <w:lang w:val="en-GB"/>
        </w:rPr>
      </w:pPr>
      <w:r w:rsidRPr="000476F2">
        <w:rPr>
          <w:sz w:val="24"/>
          <w:shd w:val="clear" w:color="auto" w:fill="FFFFFF"/>
          <w:lang w:val="en-GB"/>
        </w:rPr>
        <w:t>the readiness to engage in the work of Russian and international research teams to tackle academic problems (UC-3);</w:t>
      </w:r>
    </w:p>
    <w:p w:rsidR="007123AD" w:rsidRPr="000476F2" w:rsidRDefault="007123AD" w:rsidP="007123AD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4"/>
          <w:lang w:val="en-GB"/>
        </w:rPr>
      </w:pPr>
      <w:r w:rsidRPr="000476F2">
        <w:rPr>
          <w:sz w:val="24"/>
          <w:shd w:val="clear" w:color="auto" w:fill="FFFFFF"/>
          <w:lang w:val="en-GB"/>
        </w:rPr>
        <w:t xml:space="preserve">the readiness to use contemporary methods and technologies of scientific communication in the state and foreign languages </w:t>
      </w:r>
      <w:r w:rsidRPr="000476F2">
        <w:rPr>
          <w:sz w:val="24"/>
          <w:lang w:val="en-GB"/>
        </w:rPr>
        <w:t>(UC-4).</w:t>
      </w:r>
    </w:p>
    <w:p w:rsidR="007123AD" w:rsidRPr="000476F2" w:rsidRDefault="007123AD" w:rsidP="007123AD">
      <w:pPr>
        <w:pStyle w:val="Default"/>
        <w:numPr>
          <w:ilvl w:val="0"/>
          <w:numId w:val="2"/>
        </w:numPr>
        <w:tabs>
          <w:tab w:val="left" w:pos="0"/>
          <w:tab w:val="left" w:pos="709"/>
        </w:tabs>
        <w:rPr>
          <w:lang w:val="en-GB"/>
        </w:rPr>
      </w:pPr>
      <w:r w:rsidRPr="000476F2">
        <w:rPr>
          <w:shd w:val="clear" w:color="auto" w:fill="FFFFFF"/>
          <w:lang w:val="en-GB"/>
        </w:rPr>
        <w:t>the ability to plan and accomplish the professional and personal development tasks</w:t>
      </w:r>
      <w:r w:rsidRPr="000476F2">
        <w:rPr>
          <w:lang w:val="en-GB"/>
        </w:rPr>
        <w:t xml:space="preserve"> (UC</w:t>
      </w:r>
      <w:r w:rsidRPr="000476F2">
        <w:rPr>
          <w:color w:val="000000" w:themeColor="text1"/>
          <w:lang w:val="en-GB"/>
        </w:rPr>
        <w:t>-6)</w:t>
      </w:r>
      <w:r w:rsidRPr="000476F2">
        <w:rPr>
          <w:lang w:val="en-GB"/>
        </w:rPr>
        <w:t>;</w:t>
      </w:r>
    </w:p>
    <w:p w:rsidR="00BF7C19" w:rsidRPr="000476F2" w:rsidRDefault="00BF7C19" w:rsidP="00BF7C19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4"/>
          <w:lang w:val="en-GB"/>
        </w:rPr>
      </w:pPr>
      <w:r w:rsidRPr="000476F2">
        <w:rPr>
          <w:sz w:val="24"/>
          <w:shd w:val="clear" w:color="auto" w:fill="FFFFFF"/>
          <w:lang w:val="en-GB"/>
        </w:rPr>
        <w:t>the ability to critically analyse and evaluate current scientific achievements, generate new ideas for solving research and practical problems, including in interdisciplinary areas (UC-1);</w:t>
      </w:r>
    </w:p>
    <w:p w:rsidR="00E9791D" w:rsidRPr="00E9791D" w:rsidRDefault="00E9791D" w:rsidP="00E9791D">
      <w:pPr>
        <w:pStyle w:val="a3"/>
        <w:numPr>
          <w:ilvl w:val="0"/>
          <w:numId w:val="4"/>
        </w:numPr>
        <w:rPr>
          <w:sz w:val="24"/>
          <w:szCs w:val="22"/>
          <w:lang w:val="en-GB"/>
        </w:rPr>
      </w:pPr>
      <w:r w:rsidRPr="00E9791D">
        <w:rPr>
          <w:sz w:val="24"/>
          <w:szCs w:val="22"/>
          <w:lang w:val="en-GB"/>
        </w:rPr>
        <w:t>the ability to scientifically justify the assessment of new solutions in the field of building and mode</w:t>
      </w:r>
      <w:r>
        <w:rPr>
          <w:sz w:val="24"/>
          <w:szCs w:val="22"/>
          <w:lang w:val="en-GB"/>
        </w:rPr>
        <w:t>l</w:t>
      </w:r>
      <w:r w:rsidRPr="00E9791D">
        <w:rPr>
          <w:sz w:val="24"/>
          <w:szCs w:val="22"/>
          <w:lang w:val="en-GB"/>
        </w:rPr>
        <w:t xml:space="preserve">ling machines, drives, equipment, </w:t>
      </w:r>
      <w:r>
        <w:rPr>
          <w:sz w:val="24"/>
          <w:szCs w:val="22"/>
          <w:lang w:val="en-GB"/>
        </w:rPr>
        <w:t>process</w:t>
      </w:r>
      <w:r w:rsidRPr="00E9791D">
        <w:rPr>
          <w:sz w:val="24"/>
          <w:szCs w:val="22"/>
          <w:lang w:val="en-GB"/>
        </w:rPr>
        <w:t xml:space="preserve"> systems and dedicated</w:t>
      </w:r>
      <w:r>
        <w:rPr>
          <w:sz w:val="24"/>
          <w:szCs w:val="22"/>
          <w:lang w:val="en-GB"/>
        </w:rPr>
        <w:t xml:space="preserve"> machine-building equipment</w:t>
      </w:r>
      <w:r w:rsidRPr="00E9791D">
        <w:rPr>
          <w:sz w:val="24"/>
          <w:szCs w:val="22"/>
          <w:lang w:val="en-GB"/>
        </w:rPr>
        <w:t xml:space="preserve"> as well as </w:t>
      </w:r>
      <w:r>
        <w:rPr>
          <w:sz w:val="24"/>
          <w:szCs w:val="22"/>
          <w:lang w:val="en-GB"/>
        </w:rPr>
        <w:t>the process equipment for production (GPC</w:t>
      </w:r>
      <w:r w:rsidRPr="00E9791D">
        <w:rPr>
          <w:sz w:val="24"/>
          <w:szCs w:val="22"/>
          <w:lang w:val="en-GB"/>
        </w:rPr>
        <w:t>-1);</w:t>
      </w:r>
    </w:p>
    <w:p w:rsidR="00E9791D" w:rsidRPr="00E9791D" w:rsidRDefault="00E9791D" w:rsidP="00E9791D">
      <w:pPr>
        <w:pStyle w:val="a3"/>
        <w:numPr>
          <w:ilvl w:val="0"/>
          <w:numId w:val="4"/>
        </w:numPr>
        <w:rPr>
          <w:sz w:val="24"/>
          <w:szCs w:val="22"/>
          <w:lang w:val="en-GB"/>
        </w:rPr>
      </w:pPr>
      <w:r w:rsidRPr="00E9791D">
        <w:rPr>
          <w:sz w:val="24"/>
          <w:szCs w:val="22"/>
          <w:lang w:val="en-GB"/>
        </w:rPr>
        <w:t>the ability to formulate and solve non-standard problems of mathematical, physical, engineering, technological</w:t>
      </w:r>
      <w:r>
        <w:rPr>
          <w:sz w:val="24"/>
          <w:szCs w:val="22"/>
          <w:lang w:val="en-GB"/>
        </w:rPr>
        <w:t xml:space="preserve"> and</w:t>
      </w:r>
      <w:r w:rsidRPr="00E9791D">
        <w:rPr>
          <w:sz w:val="24"/>
          <w:szCs w:val="22"/>
          <w:lang w:val="en-GB"/>
        </w:rPr>
        <w:t xml:space="preserve"> electrical engineering</w:t>
      </w:r>
      <w:r>
        <w:rPr>
          <w:sz w:val="24"/>
          <w:szCs w:val="22"/>
          <w:lang w:val="en-GB"/>
        </w:rPr>
        <w:t xml:space="preserve"> nature</w:t>
      </w:r>
      <w:r w:rsidRPr="00E9791D">
        <w:rPr>
          <w:sz w:val="24"/>
          <w:szCs w:val="22"/>
          <w:lang w:val="en-GB"/>
        </w:rPr>
        <w:t xml:space="preserve"> in the design, manufacture and operation of new equipment (</w:t>
      </w:r>
      <w:r>
        <w:rPr>
          <w:sz w:val="24"/>
          <w:szCs w:val="22"/>
          <w:lang w:val="en-GB"/>
        </w:rPr>
        <w:t>GPC</w:t>
      </w:r>
      <w:r w:rsidRPr="00E9791D">
        <w:rPr>
          <w:sz w:val="24"/>
          <w:szCs w:val="22"/>
          <w:lang w:val="en-GB"/>
        </w:rPr>
        <w:t>-2);</w:t>
      </w:r>
    </w:p>
    <w:p w:rsidR="00E9791D" w:rsidRPr="00E9791D" w:rsidRDefault="00E9791D" w:rsidP="00E9791D">
      <w:pPr>
        <w:pStyle w:val="a3"/>
        <w:numPr>
          <w:ilvl w:val="0"/>
          <w:numId w:val="4"/>
        </w:numPr>
        <w:rPr>
          <w:sz w:val="24"/>
          <w:szCs w:val="22"/>
          <w:lang w:val="en-GB"/>
        </w:rPr>
      </w:pPr>
      <w:r w:rsidRPr="00E9791D">
        <w:rPr>
          <w:sz w:val="24"/>
          <w:szCs w:val="22"/>
          <w:lang w:val="en-GB"/>
        </w:rPr>
        <w:lastRenderedPageBreak/>
        <w:t>the ability to form and reasonably present scientific hypotheses (</w:t>
      </w:r>
      <w:r w:rsidR="00A740D8">
        <w:rPr>
          <w:sz w:val="24"/>
          <w:szCs w:val="22"/>
          <w:lang w:val="en-GB"/>
        </w:rPr>
        <w:t>GPC</w:t>
      </w:r>
      <w:r w:rsidRPr="00E9791D">
        <w:rPr>
          <w:sz w:val="24"/>
          <w:szCs w:val="22"/>
          <w:lang w:val="en-GB"/>
        </w:rPr>
        <w:t>-3);</w:t>
      </w:r>
    </w:p>
    <w:p w:rsidR="00E9791D" w:rsidRPr="00E9791D" w:rsidRDefault="00E9791D" w:rsidP="00E9791D">
      <w:pPr>
        <w:pStyle w:val="a3"/>
        <w:numPr>
          <w:ilvl w:val="0"/>
          <w:numId w:val="4"/>
        </w:numPr>
        <w:rPr>
          <w:sz w:val="24"/>
          <w:szCs w:val="22"/>
          <w:lang w:val="en-GB"/>
        </w:rPr>
      </w:pPr>
      <w:r w:rsidRPr="00E9791D">
        <w:rPr>
          <w:sz w:val="24"/>
          <w:szCs w:val="22"/>
          <w:lang w:val="en-GB"/>
        </w:rPr>
        <w:t xml:space="preserve">the ability to take the initiative in the field of </w:t>
      </w:r>
      <w:r w:rsidR="00A740D8">
        <w:rPr>
          <w:sz w:val="24"/>
          <w:szCs w:val="22"/>
          <w:lang w:val="en-GB"/>
        </w:rPr>
        <w:t>research,</w:t>
      </w:r>
      <w:r w:rsidRPr="00E9791D">
        <w:rPr>
          <w:sz w:val="24"/>
          <w:szCs w:val="22"/>
          <w:lang w:val="en-GB"/>
        </w:rPr>
        <w:t xml:space="preserve"> </w:t>
      </w:r>
      <w:r w:rsidR="00A740D8">
        <w:rPr>
          <w:sz w:val="24"/>
          <w:szCs w:val="22"/>
          <w:lang w:val="en-GB"/>
        </w:rPr>
        <w:t>also</w:t>
      </w:r>
      <w:r w:rsidRPr="00E9791D">
        <w:rPr>
          <w:sz w:val="24"/>
          <w:szCs w:val="22"/>
          <w:lang w:val="en-GB"/>
        </w:rPr>
        <w:t xml:space="preserve"> in situations of </w:t>
      </w:r>
      <w:r w:rsidR="00A740D8">
        <w:rPr>
          <w:sz w:val="24"/>
          <w:szCs w:val="22"/>
          <w:lang w:val="en-GB"/>
        </w:rPr>
        <w:t xml:space="preserve">the </w:t>
      </w:r>
      <w:r w:rsidRPr="00E9791D">
        <w:rPr>
          <w:sz w:val="24"/>
          <w:szCs w:val="22"/>
          <w:lang w:val="en-GB"/>
        </w:rPr>
        <w:t>technical and economic risk, with awareness of the responsibility for decisions (</w:t>
      </w:r>
      <w:r w:rsidR="00A740D8">
        <w:rPr>
          <w:sz w:val="24"/>
          <w:szCs w:val="22"/>
          <w:lang w:val="en-GB"/>
        </w:rPr>
        <w:t>GPC</w:t>
      </w:r>
      <w:r w:rsidRPr="00E9791D">
        <w:rPr>
          <w:sz w:val="24"/>
          <w:szCs w:val="22"/>
          <w:lang w:val="en-GB"/>
        </w:rPr>
        <w:t>-4);</w:t>
      </w:r>
    </w:p>
    <w:p w:rsidR="0055744A" w:rsidRPr="00E9791D" w:rsidRDefault="00E9791D" w:rsidP="00E9791D">
      <w:pPr>
        <w:pStyle w:val="a3"/>
        <w:numPr>
          <w:ilvl w:val="0"/>
          <w:numId w:val="4"/>
        </w:numPr>
        <w:rPr>
          <w:sz w:val="24"/>
          <w:szCs w:val="22"/>
          <w:lang w:val="en-GB"/>
        </w:rPr>
      </w:pPr>
      <w:r w:rsidRPr="00E9791D">
        <w:rPr>
          <w:sz w:val="24"/>
          <w:szCs w:val="22"/>
          <w:lang w:val="en-GB"/>
        </w:rPr>
        <w:t>the ability to plan and conduct experimental studies with subsequent adequate evaluation of the results obtained (</w:t>
      </w:r>
      <w:r w:rsidR="00885878">
        <w:rPr>
          <w:sz w:val="24"/>
          <w:szCs w:val="22"/>
          <w:lang w:val="en-GB"/>
        </w:rPr>
        <w:t>GPC</w:t>
      </w:r>
      <w:r w:rsidRPr="00E9791D">
        <w:rPr>
          <w:sz w:val="24"/>
          <w:szCs w:val="22"/>
          <w:lang w:val="en-GB"/>
        </w:rPr>
        <w:t>-5);</w:t>
      </w:r>
    </w:p>
    <w:p w:rsidR="00E74FC6" w:rsidRPr="00E74FC6" w:rsidRDefault="00E74FC6" w:rsidP="00E74FC6">
      <w:pPr>
        <w:pStyle w:val="a3"/>
        <w:numPr>
          <w:ilvl w:val="0"/>
          <w:numId w:val="2"/>
        </w:numPr>
        <w:rPr>
          <w:sz w:val="24"/>
          <w:szCs w:val="22"/>
          <w:lang w:val="en-US"/>
        </w:rPr>
      </w:pPr>
      <w:r w:rsidRPr="00E74FC6">
        <w:rPr>
          <w:sz w:val="24"/>
          <w:szCs w:val="22"/>
          <w:lang w:val="en-US"/>
        </w:rPr>
        <w:t xml:space="preserve">the ability to develop physical and mathematical models of objects in the design of new machines, automatic and automated control systems for </w:t>
      </w:r>
      <w:r w:rsidR="00172947">
        <w:rPr>
          <w:sz w:val="24"/>
          <w:szCs w:val="22"/>
          <w:lang w:val="en-US"/>
        </w:rPr>
        <w:t>the process</w:t>
      </w:r>
      <w:r w:rsidRPr="00E74FC6">
        <w:rPr>
          <w:sz w:val="24"/>
          <w:szCs w:val="22"/>
          <w:lang w:val="en-US"/>
        </w:rPr>
        <w:t xml:space="preserve"> equipment and processes in power engineering (PC-1);</w:t>
      </w:r>
    </w:p>
    <w:p w:rsidR="00E74FC6" w:rsidRPr="00E74FC6" w:rsidRDefault="00E74FC6" w:rsidP="00E74FC6">
      <w:pPr>
        <w:pStyle w:val="a3"/>
        <w:numPr>
          <w:ilvl w:val="0"/>
          <w:numId w:val="2"/>
        </w:numPr>
        <w:rPr>
          <w:sz w:val="24"/>
          <w:szCs w:val="22"/>
          <w:lang w:val="en-US"/>
        </w:rPr>
      </w:pPr>
      <w:r w:rsidRPr="00E74FC6">
        <w:rPr>
          <w:sz w:val="24"/>
          <w:szCs w:val="22"/>
          <w:lang w:val="en-US"/>
        </w:rPr>
        <w:t xml:space="preserve">the ability to conduct </w:t>
      </w:r>
      <w:r w:rsidR="00172947">
        <w:rPr>
          <w:sz w:val="24"/>
          <w:szCs w:val="22"/>
          <w:lang w:val="en-US"/>
        </w:rPr>
        <w:t xml:space="preserve">the </w:t>
      </w:r>
      <w:r w:rsidRPr="00E74FC6">
        <w:rPr>
          <w:sz w:val="24"/>
          <w:szCs w:val="22"/>
          <w:lang w:val="en-US"/>
        </w:rPr>
        <w:t xml:space="preserve">kinematic and dynamic analysis and synthesis of modern machine-building, robotic, information-measuring and diagnostic systems, the system of automation and control of </w:t>
      </w:r>
      <w:r w:rsidR="00172947">
        <w:rPr>
          <w:sz w:val="24"/>
          <w:szCs w:val="22"/>
          <w:lang w:val="en-US"/>
        </w:rPr>
        <w:t>the process</w:t>
      </w:r>
      <w:r w:rsidRPr="00E74FC6">
        <w:rPr>
          <w:sz w:val="24"/>
          <w:szCs w:val="22"/>
          <w:lang w:val="en-US"/>
        </w:rPr>
        <w:t xml:space="preserve"> equipment and processes in power engineering (PC-2);</w:t>
      </w:r>
    </w:p>
    <w:p w:rsidR="00172947" w:rsidRPr="00172947" w:rsidRDefault="00172947" w:rsidP="00172947">
      <w:pPr>
        <w:pStyle w:val="a3"/>
        <w:numPr>
          <w:ilvl w:val="0"/>
          <w:numId w:val="2"/>
        </w:numPr>
        <w:rPr>
          <w:sz w:val="24"/>
          <w:szCs w:val="22"/>
          <w:lang w:val="en-US"/>
        </w:rPr>
      </w:pPr>
      <w:r w:rsidRPr="00172947">
        <w:rPr>
          <w:sz w:val="24"/>
          <w:szCs w:val="22"/>
          <w:lang w:val="en-US"/>
        </w:rPr>
        <w:t xml:space="preserve">the ability to develop technical tasks and feasibility studies for the creation of science-intensive products for the power engineering industry, the provision of production and </w:t>
      </w:r>
      <w:r>
        <w:rPr>
          <w:sz w:val="24"/>
          <w:szCs w:val="22"/>
          <w:lang w:val="en-US"/>
        </w:rPr>
        <w:t>engineering</w:t>
      </w:r>
      <w:r w:rsidRPr="00172947">
        <w:rPr>
          <w:sz w:val="24"/>
          <w:szCs w:val="22"/>
          <w:lang w:val="en-US"/>
        </w:rPr>
        <w:t xml:space="preserve"> processes, and the </w:t>
      </w:r>
      <w:r>
        <w:rPr>
          <w:sz w:val="24"/>
          <w:szCs w:val="22"/>
          <w:lang w:val="en-US"/>
        </w:rPr>
        <w:t>creation</w:t>
      </w:r>
      <w:r w:rsidRPr="00172947">
        <w:rPr>
          <w:sz w:val="24"/>
          <w:szCs w:val="22"/>
          <w:lang w:val="en-US"/>
        </w:rPr>
        <w:t xml:space="preserve"> of quality indicators for products and processes in accordance with the existing national and internati</w:t>
      </w:r>
      <w:r>
        <w:rPr>
          <w:sz w:val="24"/>
          <w:szCs w:val="22"/>
          <w:lang w:val="en-US"/>
        </w:rPr>
        <w:t>onal regulatory framework (P</w:t>
      </w:r>
      <w:r>
        <w:rPr>
          <w:sz w:val="24"/>
          <w:szCs w:val="22"/>
        </w:rPr>
        <w:t>С</w:t>
      </w:r>
      <w:r>
        <w:rPr>
          <w:sz w:val="24"/>
          <w:szCs w:val="22"/>
          <w:lang w:val="en-US"/>
        </w:rPr>
        <w:t>-3</w:t>
      </w:r>
      <w:r w:rsidRPr="00172947">
        <w:rPr>
          <w:sz w:val="24"/>
          <w:szCs w:val="22"/>
          <w:lang w:val="en-US"/>
        </w:rPr>
        <w:t>)</w:t>
      </w:r>
    </w:p>
    <w:p w:rsidR="00172947" w:rsidRPr="00172947" w:rsidRDefault="00172947" w:rsidP="00172947">
      <w:pPr>
        <w:pStyle w:val="a3"/>
        <w:numPr>
          <w:ilvl w:val="0"/>
          <w:numId w:val="2"/>
        </w:numPr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 xml:space="preserve">the </w:t>
      </w:r>
      <w:r w:rsidRPr="00172947">
        <w:rPr>
          <w:sz w:val="24"/>
          <w:szCs w:val="22"/>
          <w:lang w:val="en-US"/>
        </w:rPr>
        <w:t>knowledge of the software of modern production systems</w:t>
      </w:r>
      <w:r>
        <w:rPr>
          <w:sz w:val="24"/>
          <w:szCs w:val="22"/>
          <w:lang w:val="en-US"/>
        </w:rPr>
        <w:t xml:space="preserve"> as well as</w:t>
      </w:r>
      <w:r w:rsidRPr="00172947">
        <w:rPr>
          <w:sz w:val="24"/>
          <w:szCs w:val="22"/>
          <w:lang w:val="en-US"/>
        </w:rPr>
        <w:t xml:space="preserve"> </w:t>
      </w:r>
      <w:r>
        <w:rPr>
          <w:sz w:val="24"/>
          <w:szCs w:val="22"/>
          <w:lang w:val="en-US"/>
        </w:rPr>
        <w:t xml:space="preserve">programming languages </w:t>
      </w:r>
      <w:r w:rsidRPr="00172947">
        <w:rPr>
          <w:sz w:val="24"/>
          <w:szCs w:val="22"/>
          <w:lang w:val="en-US"/>
        </w:rPr>
        <w:t xml:space="preserve">in the design and </w:t>
      </w:r>
      <w:r>
        <w:rPr>
          <w:sz w:val="24"/>
          <w:szCs w:val="22"/>
          <w:lang w:val="en-US"/>
        </w:rPr>
        <w:t>process-related</w:t>
      </w:r>
      <w:r w:rsidRPr="00172947">
        <w:rPr>
          <w:sz w:val="24"/>
          <w:szCs w:val="22"/>
          <w:lang w:val="en-US"/>
        </w:rPr>
        <w:t xml:space="preserve"> preparation of production, automat</w:t>
      </w:r>
      <w:r>
        <w:rPr>
          <w:sz w:val="24"/>
          <w:szCs w:val="22"/>
          <w:lang w:val="en-US"/>
        </w:rPr>
        <w:t>ed product design tools</w:t>
      </w:r>
      <w:r w:rsidRPr="00172947">
        <w:rPr>
          <w:sz w:val="24"/>
          <w:szCs w:val="22"/>
          <w:lang w:val="en-US"/>
        </w:rPr>
        <w:t xml:space="preserve"> as well as production and </w:t>
      </w:r>
      <w:r>
        <w:rPr>
          <w:sz w:val="24"/>
          <w:szCs w:val="22"/>
          <w:lang w:val="en-US"/>
        </w:rPr>
        <w:t>engineering</w:t>
      </w:r>
      <w:r w:rsidRPr="00172947">
        <w:rPr>
          <w:sz w:val="24"/>
          <w:szCs w:val="22"/>
          <w:lang w:val="en-US"/>
        </w:rPr>
        <w:t xml:space="preserve"> processes and systems (PC-4);</w:t>
      </w:r>
    </w:p>
    <w:p w:rsidR="00172947" w:rsidRPr="00172947" w:rsidRDefault="007040A8" w:rsidP="00172947">
      <w:pPr>
        <w:pStyle w:val="a3"/>
        <w:numPr>
          <w:ilvl w:val="0"/>
          <w:numId w:val="2"/>
        </w:numPr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 xml:space="preserve">the </w:t>
      </w:r>
      <w:r w:rsidR="00172947" w:rsidRPr="00172947">
        <w:rPr>
          <w:sz w:val="24"/>
          <w:szCs w:val="22"/>
          <w:lang w:val="en-US"/>
        </w:rPr>
        <w:t xml:space="preserve">readiness to use modern achievements of science and advanced technologies in </w:t>
      </w:r>
      <w:r>
        <w:rPr>
          <w:sz w:val="24"/>
          <w:szCs w:val="22"/>
          <w:lang w:val="en-US"/>
        </w:rPr>
        <w:t>the</w:t>
      </w:r>
      <w:r w:rsidR="00172947" w:rsidRPr="00172947">
        <w:rPr>
          <w:sz w:val="24"/>
          <w:szCs w:val="22"/>
          <w:lang w:val="en-US"/>
        </w:rPr>
        <w:t xml:space="preserve"> turbomachinery and turbine unit</w:t>
      </w:r>
      <w:r>
        <w:rPr>
          <w:sz w:val="24"/>
          <w:szCs w:val="22"/>
          <w:lang w:val="en-US"/>
        </w:rPr>
        <w:t xml:space="preserve"> R&amp;D</w:t>
      </w:r>
      <w:r w:rsidR="00172947" w:rsidRPr="00172947">
        <w:rPr>
          <w:sz w:val="24"/>
          <w:szCs w:val="22"/>
          <w:lang w:val="en-US"/>
        </w:rPr>
        <w:t xml:space="preserve"> (P</w:t>
      </w:r>
      <w:r w:rsidR="00172947">
        <w:rPr>
          <w:sz w:val="24"/>
          <w:szCs w:val="22"/>
          <w:lang w:val="en-US"/>
        </w:rPr>
        <w:t>C</w:t>
      </w:r>
      <w:r w:rsidR="00172947" w:rsidRPr="00172947">
        <w:rPr>
          <w:sz w:val="24"/>
          <w:szCs w:val="22"/>
          <w:lang w:val="en-US"/>
        </w:rPr>
        <w:t>-7);</w:t>
      </w:r>
    </w:p>
    <w:p w:rsidR="00172947" w:rsidRPr="00172947" w:rsidRDefault="00172947" w:rsidP="00172947">
      <w:pPr>
        <w:pStyle w:val="a3"/>
        <w:numPr>
          <w:ilvl w:val="0"/>
          <w:numId w:val="2"/>
        </w:numPr>
        <w:rPr>
          <w:sz w:val="24"/>
          <w:szCs w:val="22"/>
          <w:lang w:val="en-US"/>
        </w:rPr>
      </w:pPr>
      <w:r w:rsidRPr="00172947">
        <w:rPr>
          <w:sz w:val="24"/>
          <w:szCs w:val="22"/>
          <w:lang w:val="en-US"/>
        </w:rPr>
        <w:t>the ability to interpret the results in order to draw up practical recommendations on the future use of research data (P</w:t>
      </w:r>
      <w:r w:rsidR="007040A8">
        <w:rPr>
          <w:sz w:val="24"/>
          <w:szCs w:val="22"/>
          <w:lang w:val="en-US"/>
        </w:rPr>
        <w:t>C</w:t>
      </w:r>
      <w:r w:rsidRPr="00172947">
        <w:rPr>
          <w:sz w:val="24"/>
          <w:szCs w:val="22"/>
          <w:lang w:val="en-US"/>
        </w:rPr>
        <w:t>-8);</w:t>
      </w:r>
    </w:p>
    <w:p w:rsidR="001F67A4" w:rsidRPr="001F67A4" w:rsidRDefault="001F67A4" w:rsidP="001F67A4">
      <w:pPr>
        <w:ind w:left="360"/>
        <w:rPr>
          <w:lang w:val="en-GB"/>
        </w:rPr>
      </w:pPr>
    </w:p>
    <w:p w:rsidR="001F67A4" w:rsidRPr="001F67A4" w:rsidRDefault="001F67A4" w:rsidP="001F67A4">
      <w:pPr>
        <w:ind w:left="360"/>
        <w:rPr>
          <w:lang w:val="en-GB"/>
        </w:rPr>
      </w:pPr>
      <w:r w:rsidRPr="001F67A4">
        <w:rPr>
          <w:lang w:val="en-GB"/>
        </w:rPr>
        <w:t>As a result of mastering the discipline, a post-graduate student should:</w:t>
      </w:r>
    </w:p>
    <w:p w:rsidR="001F67A4" w:rsidRPr="001F67A4" w:rsidRDefault="001F67A4" w:rsidP="001F67A4">
      <w:pPr>
        <w:ind w:left="360"/>
        <w:rPr>
          <w:lang w:val="en-GB"/>
        </w:rPr>
      </w:pPr>
    </w:p>
    <w:p w:rsidR="001F67A4" w:rsidRPr="001F67A4" w:rsidRDefault="001F67A4" w:rsidP="001F67A4">
      <w:pPr>
        <w:ind w:left="360"/>
        <w:rPr>
          <w:lang w:val="en-GB"/>
        </w:rPr>
      </w:pPr>
      <w:r w:rsidRPr="001F67A4">
        <w:rPr>
          <w:lang w:val="en-GB"/>
        </w:rPr>
        <w:t>Know:</w:t>
      </w:r>
    </w:p>
    <w:p w:rsidR="001F67A4" w:rsidRPr="001F67A4" w:rsidRDefault="001F67A4" w:rsidP="001F67A4">
      <w:pPr>
        <w:ind w:left="360"/>
        <w:rPr>
          <w:lang w:val="en-GB"/>
        </w:rPr>
      </w:pPr>
      <w:r w:rsidRPr="001F67A4">
        <w:rPr>
          <w:lang w:val="en-GB"/>
        </w:rPr>
        <w:t>- the areas of technical progress in heat-and-power engineering,</w:t>
      </w:r>
    </w:p>
    <w:p w:rsidR="001F67A4" w:rsidRPr="001F67A4" w:rsidRDefault="001F67A4" w:rsidP="001F67A4">
      <w:pPr>
        <w:ind w:left="360"/>
        <w:rPr>
          <w:lang w:val="en-GB"/>
        </w:rPr>
      </w:pPr>
      <w:r w:rsidRPr="001F67A4">
        <w:rPr>
          <w:lang w:val="en-GB"/>
        </w:rPr>
        <w:t xml:space="preserve">- the heat-and-power engineering </w:t>
      </w:r>
      <w:r>
        <w:rPr>
          <w:lang w:val="en-GB"/>
        </w:rPr>
        <w:t xml:space="preserve">and turbine unit </w:t>
      </w:r>
      <w:r w:rsidRPr="001F67A4">
        <w:rPr>
          <w:lang w:val="en-GB"/>
        </w:rPr>
        <w:t>prospects and areas,</w:t>
      </w:r>
    </w:p>
    <w:p w:rsidR="001F67A4" w:rsidRPr="001F67A4" w:rsidRDefault="001F67A4" w:rsidP="001F67A4">
      <w:pPr>
        <w:ind w:left="360"/>
        <w:rPr>
          <w:lang w:val="en-GB"/>
        </w:rPr>
      </w:pPr>
      <w:r w:rsidRPr="001F67A4">
        <w:rPr>
          <w:lang w:val="en-GB"/>
        </w:rPr>
        <w:t>- the current trends and methods for increasing the efficiency, reliability and safety of the heat-and-power machinery,</w:t>
      </w:r>
    </w:p>
    <w:p w:rsidR="001F67A4" w:rsidRPr="001F67A4" w:rsidRDefault="001F67A4" w:rsidP="001F67A4">
      <w:pPr>
        <w:ind w:left="360"/>
        <w:rPr>
          <w:lang w:val="en-GB"/>
        </w:rPr>
      </w:pPr>
      <w:r w:rsidRPr="001F67A4">
        <w:rPr>
          <w:lang w:val="en-GB"/>
        </w:rPr>
        <w:t>- the basis for modern methods of a technical and economic analysis in relation to the heat-and-power engineering challenges.</w:t>
      </w:r>
    </w:p>
    <w:p w:rsidR="001F67A4" w:rsidRPr="001F67A4" w:rsidRDefault="001F67A4" w:rsidP="001F67A4">
      <w:pPr>
        <w:ind w:left="360"/>
        <w:rPr>
          <w:lang w:val="en-GB"/>
        </w:rPr>
      </w:pPr>
    </w:p>
    <w:p w:rsidR="001F67A4" w:rsidRPr="001F67A4" w:rsidRDefault="001F67A4" w:rsidP="001F67A4">
      <w:pPr>
        <w:ind w:left="360"/>
        <w:rPr>
          <w:lang w:val="en-GB"/>
        </w:rPr>
      </w:pPr>
      <w:r w:rsidRPr="001F67A4">
        <w:rPr>
          <w:lang w:val="en-GB"/>
        </w:rPr>
        <w:t>Be able:</w:t>
      </w:r>
    </w:p>
    <w:p w:rsidR="001F67A4" w:rsidRPr="001F67A4" w:rsidRDefault="001F67A4" w:rsidP="001F67A4">
      <w:pPr>
        <w:ind w:left="360"/>
        <w:rPr>
          <w:lang w:val="en-GB"/>
        </w:rPr>
      </w:pPr>
      <w:r w:rsidRPr="001F67A4">
        <w:rPr>
          <w:lang w:val="en-GB"/>
        </w:rPr>
        <w:t>- to analyse the information received from heat-and-power facilities and take reasonable technical decisions based on it;</w:t>
      </w:r>
    </w:p>
    <w:p w:rsidR="001F67A4" w:rsidRPr="001F67A4" w:rsidRDefault="001F67A4" w:rsidP="001F67A4">
      <w:pPr>
        <w:ind w:left="360"/>
        <w:rPr>
          <w:lang w:val="en-GB"/>
        </w:rPr>
      </w:pPr>
      <w:r w:rsidRPr="001F67A4">
        <w:rPr>
          <w:lang w:val="en-GB"/>
        </w:rPr>
        <w:t>- to determine possible areas for improving the heat-and-power machinery at various stages of their life cycle.</w:t>
      </w:r>
    </w:p>
    <w:p w:rsidR="001F67A4" w:rsidRPr="001F67A4" w:rsidRDefault="001F67A4" w:rsidP="001F67A4">
      <w:pPr>
        <w:ind w:left="360"/>
        <w:rPr>
          <w:lang w:val="en-GB"/>
        </w:rPr>
      </w:pPr>
    </w:p>
    <w:p w:rsidR="001F67A4" w:rsidRPr="001F67A4" w:rsidRDefault="001F67A4" w:rsidP="001F67A4">
      <w:pPr>
        <w:ind w:left="360"/>
        <w:rPr>
          <w:lang w:val="en-GB"/>
        </w:rPr>
      </w:pPr>
      <w:r w:rsidRPr="001F67A4">
        <w:rPr>
          <w:lang w:val="en-GB"/>
        </w:rPr>
        <w:t>Demonstrate skills and experience:</w:t>
      </w:r>
    </w:p>
    <w:p w:rsidR="001F67A4" w:rsidRPr="001F67A4" w:rsidRDefault="001F67A4" w:rsidP="001F67A4">
      <w:pPr>
        <w:ind w:left="360"/>
        <w:rPr>
          <w:lang w:val="en-GB"/>
        </w:rPr>
      </w:pPr>
      <w:r w:rsidRPr="001F67A4">
        <w:rPr>
          <w:lang w:val="en-GB"/>
        </w:rPr>
        <w:t>- in the practical activities for determining the effectiveness of certain machinery;</w:t>
      </w:r>
    </w:p>
    <w:p w:rsidR="0073364C" w:rsidRPr="00712DCA" w:rsidRDefault="0073364C" w:rsidP="0073364C">
      <w:pPr>
        <w:rPr>
          <w:lang w:val="en-GB"/>
        </w:rPr>
      </w:pPr>
    </w:p>
    <w:p w:rsidR="0073364C" w:rsidRPr="00712DCA" w:rsidRDefault="0073364C" w:rsidP="0073364C">
      <w:pPr>
        <w:pStyle w:val="2"/>
        <w:rPr>
          <w:sz w:val="24"/>
          <w:szCs w:val="24"/>
          <w:lang w:val="en-GB"/>
        </w:rPr>
      </w:pPr>
      <w:r w:rsidRPr="00712DCA">
        <w:rPr>
          <w:sz w:val="24"/>
          <w:szCs w:val="24"/>
          <w:lang w:val="en-GB"/>
        </w:rPr>
        <w:t>Discipline scope</w:t>
      </w:r>
    </w:p>
    <w:p w:rsidR="0073364C" w:rsidRPr="00712DCA" w:rsidRDefault="0073364C" w:rsidP="0073364C">
      <w:pPr>
        <w:rPr>
          <w:lang w:val="en-GB"/>
        </w:rPr>
      </w:pPr>
    </w:p>
    <w:tbl>
      <w:tblPr>
        <w:tblW w:w="8784" w:type="dxa"/>
        <w:jc w:val="center"/>
        <w:tblLayout w:type="fixed"/>
        <w:tblLook w:val="0000" w:firstRow="0" w:lastRow="0" w:firstColumn="0" w:lastColumn="0" w:noHBand="0" w:noVBand="0"/>
      </w:tblPr>
      <w:tblGrid>
        <w:gridCol w:w="4815"/>
        <w:gridCol w:w="1701"/>
        <w:gridCol w:w="2268"/>
      </w:tblGrid>
      <w:tr w:rsidR="0073364C" w:rsidRPr="00712DCA" w:rsidTr="00A01AC8">
        <w:trPr>
          <w:trHeight w:val="621"/>
          <w:jc w:val="center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64C" w:rsidRPr="00712DCA" w:rsidRDefault="0073364C" w:rsidP="0073364C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712DCA">
              <w:rPr>
                <w:b/>
                <w:bCs/>
                <w:color w:val="000000"/>
                <w:lang w:val="en-GB"/>
              </w:rPr>
              <w:lastRenderedPageBreak/>
              <w:t>Types of the educational work, forms of control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64C" w:rsidRPr="00712DCA" w:rsidRDefault="0073364C" w:rsidP="0073364C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712DCA">
              <w:rPr>
                <w:b/>
                <w:bCs/>
                <w:color w:val="000000"/>
                <w:lang w:val="en-GB"/>
              </w:rPr>
              <w:t>Hours, total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4C" w:rsidRPr="00712DCA" w:rsidRDefault="0073364C" w:rsidP="0073364C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712DCA">
              <w:rPr>
                <w:b/>
                <w:bCs/>
                <w:color w:val="000000"/>
                <w:lang w:val="en-GB"/>
              </w:rPr>
              <w:t>Study terms,</w:t>
            </w:r>
          </w:p>
          <w:p w:rsidR="0073364C" w:rsidRPr="00712DCA" w:rsidRDefault="0073364C" w:rsidP="0073364C">
            <w:pPr>
              <w:jc w:val="center"/>
              <w:rPr>
                <w:lang w:val="en-GB"/>
              </w:rPr>
            </w:pPr>
            <w:r w:rsidRPr="00712DCA">
              <w:rPr>
                <w:b/>
                <w:bCs/>
                <w:color w:val="000000"/>
                <w:lang w:val="en-GB"/>
              </w:rPr>
              <w:t>number</w:t>
            </w:r>
          </w:p>
        </w:tc>
      </w:tr>
      <w:tr w:rsidR="0073364C" w:rsidRPr="00712DCA" w:rsidTr="00A01AC8">
        <w:trPr>
          <w:trHeight w:val="70"/>
          <w:jc w:val="center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3364C" w:rsidRPr="00712DCA" w:rsidRDefault="0073364C" w:rsidP="0073364C">
            <w:pPr>
              <w:snapToGrid w:val="0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3364C" w:rsidRPr="00712DCA" w:rsidRDefault="0073364C" w:rsidP="0073364C">
            <w:pPr>
              <w:snapToGrid w:val="0"/>
              <w:jc w:val="right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3364C" w:rsidRPr="00712DCA" w:rsidRDefault="009125B2" w:rsidP="0073364C">
            <w:pPr>
              <w:snapToGrid w:val="0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2</w:t>
            </w:r>
          </w:p>
        </w:tc>
      </w:tr>
      <w:tr w:rsidR="0073364C" w:rsidRPr="00712DCA" w:rsidTr="00A01AC8">
        <w:trPr>
          <w:trHeight w:val="31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4C" w:rsidRPr="00712DCA" w:rsidRDefault="0073364C" w:rsidP="0073364C">
            <w:pPr>
              <w:ind w:left="113"/>
              <w:rPr>
                <w:lang w:val="en-GB"/>
              </w:rPr>
            </w:pPr>
            <w:r w:rsidRPr="00712DCA">
              <w:rPr>
                <w:rStyle w:val="a5"/>
                <w:lang w:val="en-GB"/>
              </w:rPr>
              <w:t>In-class learning, hours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4C" w:rsidRPr="00712DCA" w:rsidRDefault="0073364C" w:rsidP="0073364C">
            <w:pPr>
              <w:snapToGrid w:val="0"/>
              <w:jc w:val="center"/>
              <w:rPr>
                <w:b/>
                <w:bCs/>
                <w:color w:val="000000"/>
                <w:lang w:val="en-GB"/>
              </w:rPr>
            </w:pPr>
            <w:r w:rsidRPr="00712DCA">
              <w:rPr>
                <w:b/>
                <w:bCs/>
                <w:color w:val="000000"/>
                <w:lang w:val="en-GB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4C" w:rsidRPr="00712DCA" w:rsidRDefault="0073364C" w:rsidP="0073364C">
            <w:pPr>
              <w:snapToGrid w:val="0"/>
              <w:jc w:val="center"/>
              <w:rPr>
                <w:b/>
                <w:bCs/>
                <w:color w:val="000000"/>
                <w:lang w:val="en-GB"/>
              </w:rPr>
            </w:pPr>
            <w:r w:rsidRPr="00712DCA">
              <w:rPr>
                <w:b/>
                <w:bCs/>
                <w:color w:val="000000"/>
                <w:lang w:val="en-GB"/>
              </w:rPr>
              <w:t>4</w:t>
            </w:r>
          </w:p>
        </w:tc>
      </w:tr>
      <w:tr w:rsidR="0073364C" w:rsidRPr="00712DCA" w:rsidTr="00A01AC8">
        <w:trPr>
          <w:trHeight w:val="31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4C" w:rsidRPr="00712DCA" w:rsidRDefault="0073364C" w:rsidP="0073364C">
            <w:pPr>
              <w:ind w:left="113"/>
              <w:rPr>
                <w:lang w:val="en-GB"/>
              </w:rPr>
            </w:pPr>
            <w:r w:rsidRPr="00712DCA">
              <w:rPr>
                <w:lang w:val="en-GB"/>
              </w:rPr>
              <w:t>Lectures, hours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4C" w:rsidRPr="00712DCA" w:rsidRDefault="0073364C" w:rsidP="0073364C">
            <w:pPr>
              <w:snapToGrid w:val="0"/>
              <w:jc w:val="center"/>
              <w:rPr>
                <w:color w:val="000000"/>
                <w:lang w:val="en-GB"/>
              </w:rPr>
            </w:pPr>
            <w:r w:rsidRPr="00712DCA">
              <w:rPr>
                <w:color w:val="000000"/>
                <w:lang w:val="en-GB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4C" w:rsidRPr="00712DCA" w:rsidRDefault="0073364C" w:rsidP="0073364C">
            <w:pPr>
              <w:snapToGrid w:val="0"/>
              <w:jc w:val="center"/>
              <w:rPr>
                <w:color w:val="000000"/>
                <w:lang w:val="en-GB"/>
              </w:rPr>
            </w:pPr>
            <w:r w:rsidRPr="00712DCA">
              <w:rPr>
                <w:color w:val="000000"/>
                <w:lang w:val="en-GB"/>
              </w:rPr>
              <w:t>4</w:t>
            </w:r>
          </w:p>
        </w:tc>
      </w:tr>
      <w:tr w:rsidR="0073364C" w:rsidRPr="00712DCA" w:rsidTr="00A01AC8">
        <w:trPr>
          <w:trHeight w:val="31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364C" w:rsidRPr="00712DCA" w:rsidRDefault="0073364C" w:rsidP="0073364C">
            <w:pPr>
              <w:ind w:left="113"/>
              <w:rPr>
                <w:lang w:val="en-GB"/>
              </w:rPr>
            </w:pPr>
            <w:r w:rsidRPr="00712DCA">
              <w:rPr>
                <w:lang w:val="en-GB"/>
              </w:rPr>
              <w:t>Practical exercises, hours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4C" w:rsidRPr="00712DCA" w:rsidRDefault="0073364C" w:rsidP="0073364C">
            <w:pPr>
              <w:snapToGrid w:val="0"/>
              <w:jc w:val="center"/>
              <w:rPr>
                <w:color w:val="000000"/>
                <w:lang w:val="en-GB"/>
              </w:rPr>
            </w:pPr>
            <w:r w:rsidRPr="00712DCA">
              <w:rPr>
                <w:color w:val="000000"/>
                <w:lang w:val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4C" w:rsidRPr="00712DCA" w:rsidRDefault="0073364C" w:rsidP="0073364C">
            <w:pPr>
              <w:snapToGrid w:val="0"/>
              <w:jc w:val="center"/>
              <w:rPr>
                <w:color w:val="000000"/>
                <w:lang w:val="en-GB"/>
              </w:rPr>
            </w:pPr>
            <w:r w:rsidRPr="00712DCA">
              <w:rPr>
                <w:color w:val="000000"/>
                <w:lang w:val="en-GB"/>
              </w:rPr>
              <w:t>-</w:t>
            </w:r>
          </w:p>
        </w:tc>
      </w:tr>
      <w:tr w:rsidR="0073364C" w:rsidRPr="00712DCA" w:rsidTr="00A01AC8">
        <w:trPr>
          <w:trHeight w:val="31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364C" w:rsidRPr="00712DCA" w:rsidRDefault="0073364C" w:rsidP="0073364C">
            <w:pPr>
              <w:ind w:left="113"/>
              <w:rPr>
                <w:lang w:val="en-GB"/>
              </w:rPr>
            </w:pPr>
            <w:r w:rsidRPr="00712DCA">
              <w:rPr>
                <w:lang w:val="en-GB"/>
              </w:rPr>
              <w:t>Laboratory-based work, hours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4C" w:rsidRPr="00712DCA" w:rsidRDefault="0073364C" w:rsidP="0073364C">
            <w:pPr>
              <w:snapToGrid w:val="0"/>
              <w:jc w:val="center"/>
              <w:rPr>
                <w:color w:val="000000"/>
                <w:lang w:val="en-GB"/>
              </w:rPr>
            </w:pPr>
            <w:r w:rsidRPr="00712DCA">
              <w:rPr>
                <w:color w:val="000000"/>
                <w:lang w:val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4C" w:rsidRPr="00712DCA" w:rsidRDefault="0073364C" w:rsidP="0073364C">
            <w:pPr>
              <w:snapToGrid w:val="0"/>
              <w:jc w:val="center"/>
              <w:rPr>
                <w:color w:val="000000"/>
                <w:lang w:val="en-GB"/>
              </w:rPr>
            </w:pPr>
            <w:r w:rsidRPr="00712DCA">
              <w:rPr>
                <w:color w:val="000000"/>
                <w:lang w:val="en-GB"/>
              </w:rPr>
              <w:t>-</w:t>
            </w:r>
          </w:p>
        </w:tc>
      </w:tr>
      <w:tr w:rsidR="0073364C" w:rsidRPr="00712DCA" w:rsidTr="00A01AC8">
        <w:trPr>
          <w:trHeight w:val="40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4C" w:rsidRPr="00712DCA" w:rsidRDefault="0073364C" w:rsidP="0073364C">
            <w:pPr>
              <w:ind w:left="113"/>
              <w:rPr>
                <w:lang w:val="en-GB"/>
              </w:rPr>
            </w:pPr>
            <w:r w:rsidRPr="00712DCA">
              <w:rPr>
                <w:rStyle w:val="a5"/>
                <w:lang w:val="en-GB"/>
              </w:rPr>
              <w:t>Self-guided work of students, hours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64C" w:rsidRPr="00712DCA" w:rsidRDefault="0073364C" w:rsidP="0073364C">
            <w:pPr>
              <w:snapToGrid w:val="0"/>
              <w:jc w:val="center"/>
              <w:rPr>
                <w:b/>
                <w:bCs/>
                <w:color w:val="000000"/>
                <w:lang w:val="en-GB"/>
              </w:rPr>
            </w:pPr>
            <w:r w:rsidRPr="00712DCA">
              <w:rPr>
                <w:b/>
                <w:bCs/>
                <w:color w:val="000000"/>
                <w:lang w:val="en-GB"/>
              </w:rPr>
              <w:t>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4C" w:rsidRPr="00712DCA" w:rsidRDefault="0073364C" w:rsidP="0073364C">
            <w:pPr>
              <w:snapToGrid w:val="0"/>
              <w:jc w:val="center"/>
              <w:rPr>
                <w:b/>
                <w:bCs/>
                <w:color w:val="000000"/>
                <w:lang w:val="en-GB"/>
              </w:rPr>
            </w:pPr>
            <w:r w:rsidRPr="00712DCA">
              <w:rPr>
                <w:b/>
                <w:bCs/>
                <w:color w:val="000000"/>
                <w:lang w:val="en-GB"/>
              </w:rPr>
              <w:t>104</w:t>
            </w:r>
          </w:p>
        </w:tc>
      </w:tr>
      <w:tr w:rsidR="0073364C" w:rsidRPr="00712DCA" w:rsidTr="00A01AC8">
        <w:trPr>
          <w:trHeight w:val="392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4C" w:rsidRPr="00712DCA" w:rsidRDefault="0073364C" w:rsidP="0073364C">
            <w:pPr>
              <w:ind w:left="113"/>
              <w:rPr>
                <w:lang w:val="en-GB"/>
              </w:rPr>
            </w:pPr>
            <w:r w:rsidRPr="00712DCA">
              <w:rPr>
                <w:rStyle w:val="a5"/>
                <w:lang w:val="en-GB"/>
              </w:rPr>
              <w:t>Interim attestation</w:t>
            </w:r>
            <w:r w:rsidR="004C2BFB">
              <w:rPr>
                <w:rStyle w:val="a5"/>
                <w:lang w:val="en-GB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64C" w:rsidRPr="00712DCA" w:rsidRDefault="0073364C" w:rsidP="0073364C">
            <w:pPr>
              <w:snapToGrid w:val="0"/>
              <w:jc w:val="center"/>
              <w:rPr>
                <w:b/>
                <w:bCs/>
                <w:color w:val="000000"/>
                <w:lang w:val="en-GB"/>
              </w:rPr>
            </w:pPr>
            <w:r w:rsidRPr="00712DCA">
              <w:rPr>
                <w:b/>
                <w:bCs/>
                <w:color w:val="000000"/>
                <w:lang w:val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4C" w:rsidRPr="00712DCA" w:rsidRDefault="0073364C" w:rsidP="0073364C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712DCA">
              <w:rPr>
                <w:b/>
                <w:bCs/>
                <w:color w:val="000000"/>
                <w:lang w:val="en-GB"/>
              </w:rPr>
              <w:t>Test, 4</w:t>
            </w:r>
          </w:p>
        </w:tc>
      </w:tr>
      <w:tr w:rsidR="0073364C" w:rsidRPr="00712DCA" w:rsidTr="00A01AC8">
        <w:trPr>
          <w:trHeight w:val="31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64C" w:rsidRPr="00712DCA" w:rsidRDefault="0073364C" w:rsidP="0073364C">
            <w:pPr>
              <w:ind w:left="113"/>
              <w:rPr>
                <w:lang w:val="en-GB"/>
              </w:rPr>
            </w:pPr>
            <w:r w:rsidRPr="00712DCA">
              <w:rPr>
                <w:rStyle w:val="a5"/>
                <w:lang w:val="en-GB"/>
              </w:rPr>
              <w:t>Total work intensity according to the curriculum, hours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4C" w:rsidRPr="00712DCA" w:rsidRDefault="0073364C" w:rsidP="0073364C">
            <w:pPr>
              <w:snapToGrid w:val="0"/>
              <w:jc w:val="center"/>
              <w:rPr>
                <w:color w:val="000000"/>
                <w:lang w:val="en-GB"/>
              </w:rPr>
            </w:pPr>
            <w:r w:rsidRPr="00712DCA">
              <w:rPr>
                <w:color w:val="000000"/>
                <w:lang w:val="en-GB"/>
              </w:rPr>
              <w:t>108</w:t>
            </w:r>
          </w:p>
        </w:tc>
      </w:tr>
      <w:tr w:rsidR="0073364C" w:rsidRPr="00712DCA" w:rsidTr="00A01AC8">
        <w:trPr>
          <w:trHeight w:val="31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4C" w:rsidRPr="00712DCA" w:rsidRDefault="0073364C" w:rsidP="0073364C">
            <w:pPr>
              <w:ind w:left="113"/>
              <w:rPr>
                <w:lang w:val="en-GB"/>
              </w:rPr>
            </w:pPr>
            <w:r w:rsidRPr="00712DCA">
              <w:rPr>
                <w:rStyle w:val="a5"/>
                <w:lang w:val="en-GB"/>
              </w:rPr>
              <w:t>Total work intensity according to the curriculum, credits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4C" w:rsidRPr="00712DCA" w:rsidRDefault="0073364C" w:rsidP="0073364C">
            <w:pPr>
              <w:snapToGrid w:val="0"/>
              <w:jc w:val="center"/>
              <w:rPr>
                <w:color w:val="000000"/>
                <w:lang w:val="en-GB"/>
              </w:rPr>
            </w:pPr>
            <w:r w:rsidRPr="00712DCA">
              <w:rPr>
                <w:color w:val="000000"/>
                <w:lang w:val="en-GB"/>
              </w:rPr>
              <w:t>3</w:t>
            </w:r>
          </w:p>
        </w:tc>
      </w:tr>
    </w:tbl>
    <w:p w:rsidR="0073364C" w:rsidRPr="00712DCA" w:rsidRDefault="0073364C" w:rsidP="0073364C">
      <w:pPr>
        <w:rPr>
          <w:lang w:val="en-GB"/>
        </w:rPr>
      </w:pPr>
    </w:p>
    <w:p w:rsidR="006D4214" w:rsidRPr="00712DCA" w:rsidRDefault="006D4214" w:rsidP="006D4214">
      <w:pPr>
        <w:rPr>
          <w:lang w:val="en-GB"/>
        </w:rPr>
      </w:pPr>
    </w:p>
    <w:p w:rsidR="006D4214" w:rsidRPr="00712DCA" w:rsidRDefault="006D4214" w:rsidP="006D4214">
      <w:pPr>
        <w:pStyle w:val="1"/>
        <w:numPr>
          <w:ilvl w:val="0"/>
          <w:numId w:val="8"/>
        </w:numPr>
        <w:suppressAutoHyphens w:val="0"/>
        <w:spacing w:before="0" w:after="0"/>
        <w:jc w:val="left"/>
        <w:rPr>
          <w:kern w:val="2"/>
          <w:sz w:val="24"/>
          <w:szCs w:val="24"/>
          <w:lang w:val="en-GB"/>
        </w:rPr>
      </w:pPr>
      <w:r w:rsidRPr="00712DCA">
        <w:rPr>
          <w:bCs w:val="0"/>
          <w:kern w:val="2"/>
          <w:sz w:val="24"/>
          <w:szCs w:val="24"/>
          <w:lang w:val="en-GB"/>
        </w:rPr>
        <w:t>DISCIPLINE CONTENT</w:t>
      </w:r>
    </w:p>
    <w:tbl>
      <w:tblPr>
        <w:tblW w:w="9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9"/>
        <w:gridCol w:w="3041"/>
        <w:gridCol w:w="5760"/>
      </w:tblGrid>
      <w:tr w:rsidR="006D4214" w:rsidRPr="00712DCA" w:rsidTr="00A01AC8">
        <w:trPr>
          <w:trHeight w:val="5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14" w:rsidRPr="00712DCA" w:rsidRDefault="006D4214" w:rsidP="00A01AC8">
            <w:pPr>
              <w:jc w:val="center"/>
              <w:rPr>
                <w:b/>
                <w:lang w:val="en-GB"/>
              </w:rPr>
            </w:pPr>
            <w:r w:rsidRPr="00712DCA">
              <w:rPr>
                <w:b/>
                <w:lang w:val="en-GB"/>
              </w:rPr>
              <w:t xml:space="preserve">Code of section, topic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214" w:rsidRPr="00712DCA" w:rsidRDefault="006D4214" w:rsidP="00A01AC8">
            <w:pPr>
              <w:jc w:val="center"/>
              <w:rPr>
                <w:b/>
                <w:lang w:val="en-GB"/>
              </w:rPr>
            </w:pPr>
            <w:r w:rsidRPr="00712DCA">
              <w:rPr>
                <w:b/>
                <w:lang w:val="en-GB"/>
              </w:rPr>
              <w:t>Discipline section, topic*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214" w:rsidRPr="00712DCA" w:rsidRDefault="006D4214" w:rsidP="00A01AC8">
            <w:pPr>
              <w:pStyle w:val="21"/>
              <w:widowControl w:val="0"/>
              <w:ind w:left="0" w:firstLine="0"/>
              <w:jc w:val="center"/>
              <w:rPr>
                <w:lang w:val="en-GB"/>
              </w:rPr>
            </w:pPr>
            <w:r w:rsidRPr="00712DCA">
              <w:rPr>
                <w:b/>
                <w:lang w:val="en-GB"/>
              </w:rPr>
              <w:t xml:space="preserve">Content </w:t>
            </w:r>
          </w:p>
        </w:tc>
      </w:tr>
      <w:tr w:rsidR="006D4214" w:rsidRPr="006D4214" w:rsidTr="00A01AC8">
        <w:trPr>
          <w:trHeight w:val="5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14" w:rsidRPr="00712DCA" w:rsidRDefault="006D4214" w:rsidP="00A01AC8">
            <w:pPr>
              <w:jc w:val="center"/>
              <w:rPr>
                <w:b/>
                <w:lang w:val="en-GB"/>
              </w:rPr>
            </w:pPr>
            <w:bookmarkStart w:id="1" w:name="_Hlk316825168"/>
            <w:r w:rsidRPr="00712DCA">
              <w:rPr>
                <w:b/>
                <w:lang w:val="en-GB"/>
              </w:rPr>
              <w:t>Р1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214" w:rsidRPr="00712DCA" w:rsidRDefault="006D4214" w:rsidP="004C2BFB">
            <w:pPr>
              <w:pStyle w:val="21"/>
              <w:widowControl w:val="0"/>
              <w:ind w:left="0" w:firstLine="0"/>
              <w:rPr>
                <w:lang w:val="en-GB"/>
              </w:rPr>
            </w:pPr>
            <w:r w:rsidRPr="006D4214">
              <w:rPr>
                <w:lang w:val="en-GB"/>
              </w:rPr>
              <w:t xml:space="preserve">Energy </w:t>
            </w:r>
            <w:r>
              <w:rPr>
                <w:lang w:val="en-US"/>
              </w:rPr>
              <w:t xml:space="preserve">industry </w:t>
            </w:r>
            <w:r w:rsidRPr="006D4214">
              <w:rPr>
                <w:lang w:val="en-GB"/>
              </w:rPr>
              <w:t>and power engineering in Russia and in the world:</w:t>
            </w:r>
            <w:r w:rsidR="004C2BFB" w:rsidRPr="004C2BFB">
              <w:rPr>
                <w:lang w:val="en-US"/>
              </w:rPr>
              <w:t xml:space="preserve"> </w:t>
            </w:r>
            <w:r w:rsidR="004C2BFB">
              <w:rPr>
                <w:lang w:val="en-US"/>
              </w:rPr>
              <w:t>the</w:t>
            </w:r>
            <w:r w:rsidRPr="006D4214">
              <w:rPr>
                <w:lang w:val="en-GB"/>
              </w:rPr>
              <w:t xml:space="preserve"> state</w:t>
            </w:r>
            <w:r w:rsidR="004C2BFB">
              <w:rPr>
                <w:lang w:val="en-GB"/>
              </w:rPr>
              <w:t xml:space="preserve"> and </w:t>
            </w:r>
            <w:r w:rsidRPr="006D4214">
              <w:rPr>
                <w:lang w:val="en-GB"/>
              </w:rPr>
              <w:t>development options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214" w:rsidRPr="00712DCA" w:rsidRDefault="004C2BFB" w:rsidP="004C2BFB">
            <w:pPr>
              <w:pStyle w:val="21"/>
              <w:widowControl w:val="0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 xml:space="preserve">The global </w:t>
            </w:r>
            <w:r w:rsidR="006D4214" w:rsidRPr="006D4214">
              <w:rPr>
                <w:lang w:val="en-GB"/>
              </w:rPr>
              <w:t xml:space="preserve">and domestic market of </w:t>
            </w:r>
            <w:r w:rsidRPr="006D4214">
              <w:rPr>
                <w:lang w:val="en-GB"/>
              </w:rPr>
              <w:t xml:space="preserve">power equipment </w:t>
            </w:r>
            <w:r w:rsidR="006D4214" w:rsidRPr="006D4214">
              <w:rPr>
                <w:lang w:val="en-GB"/>
              </w:rPr>
              <w:t xml:space="preserve">producers and consumers. The </w:t>
            </w:r>
            <w:r>
              <w:rPr>
                <w:lang w:val="en-GB"/>
              </w:rPr>
              <w:t>key</w:t>
            </w:r>
            <w:r w:rsidR="006D4214">
              <w:rPr>
                <w:lang w:val="en-GB"/>
              </w:rPr>
              <w:t xml:space="preserve"> </w:t>
            </w:r>
            <w:r w:rsidRPr="006D4214">
              <w:rPr>
                <w:lang w:val="en-GB"/>
              </w:rPr>
              <w:t xml:space="preserve">power equipment </w:t>
            </w:r>
            <w:r>
              <w:rPr>
                <w:lang w:val="en-GB"/>
              </w:rPr>
              <w:t>research</w:t>
            </w:r>
            <w:r w:rsidR="006D4214">
              <w:rPr>
                <w:lang w:val="en-GB"/>
              </w:rPr>
              <w:t xml:space="preserve"> and design centre</w:t>
            </w:r>
            <w:r w:rsidR="006D4214" w:rsidRPr="006D4214">
              <w:rPr>
                <w:lang w:val="en-GB"/>
              </w:rPr>
              <w:t xml:space="preserve">s in Russia and </w:t>
            </w:r>
            <w:r>
              <w:rPr>
                <w:lang w:val="en-GB"/>
              </w:rPr>
              <w:t>globally</w:t>
            </w:r>
            <w:r w:rsidR="006D4214" w:rsidRPr="006D4214">
              <w:rPr>
                <w:lang w:val="en-GB"/>
              </w:rPr>
              <w:t xml:space="preserve">. </w:t>
            </w:r>
            <w:r w:rsidRPr="006D4214">
              <w:rPr>
                <w:lang w:val="en-GB"/>
              </w:rPr>
              <w:t xml:space="preserve">Trends in the development of energy </w:t>
            </w:r>
            <w:r>
              <w:rPr>
                <w:lang w:val="en-GB"/>
              </w:rPr>
              <w:t>systems</w:t>
            </w:r>
            <w:r w:rsidRPr="006D4214">
              <w:rPr>
                <w:lang w:val="en-GB"/>
              </w:rPr>
              <w:t xml:space="preserve"> in various countries, in Russia.</w:t>
            </w:r>
            <w:r>
              <w:rPr>
                <w:lang w:val="en-GB"/>
              </w:rPr>
              <w:t xml:space="preserve"> The s</w:t>
            </w:r>
            <w:r w:rsidRPr="006D4214">
              <w:rPr>
                <w:lang w:val="en-GB"/>
              </w:rPr>
              <w:t xml:space="preserve">tate influence in the energy sector and </w:t>
            </w:r>
            <w:r>
              <w:rPr>
                <w:lang w:val="en-GB"/>
              </w:rPr>
              <w:t>power engineering</w:t>
            </w:r>
            <w:r w:rsidRPr="006D4214">
              <w:rPr>
                <w:lang w:val="en-GB"/>
              </w:rPr>
              <w:t xml:space="preserve">. </w:t>
            </w:r>
            <w:r>
              <w:rPr>
                <w:lang w:val="en-GB"/>
              </w:rPr>
              <w:t>The p</w:t>
            </w:r>
            <w:r w:rsidRPr="006D4214">
              <w:rPr>
                <w:lang w:val="en-GB"/>
              </w:rPr>
              <w:t>erspectives and reserves of energy saving in Russia</w:t>
            </w:r>
          </w:p>
          <w:p w:rsidR="006D4214" w:rsidRPr="00712DCA" w:rsidRDefault="006D4214" w:rsidP="006D4214">
            <w:pPr>
              <w:pStyle w:val="21"/>
              <w:widowControl w:val="0"/>
              <w:ind w:left="0" w:firstLine="59"/>
              <w:rPr>
                <w:lang w:val="en-GB"/>
              </w:rPr>
            </w:pPr>
          </w:p>
        </w:tc>
      </w:tr>
      <w:tr w:rsidR="006D4214" w:rsidRPr="00D04C01" w:rsidTr="00A01AC8">
        <w:trPr>
          <w:trHeight w:val="5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14" w:rsidRPr="00712DCA" w:rsidRDefault="006D4214" w:rsidP="00A01AC8">
            <w:pPr>
              <w:jc w:val="center"/>
              <w:rPr>
                <w:b/>
                <w:lang w:val="en-GB"/>
              </w:rPr>
            </w:pPr>
            <w:r w:rsidRPr="00712DCA">
              <w:rPr>
                <w:b/>
                <w:lang w:val="en-GB"/>
              </w:rPr>
              <w:t>Р2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214" w:rsidRPr="00712DCA" w:rsidRDefault="004C2BFB" w:rsidP="004C2BFB">
            <w:pPr>
              <w:pStyle w:val="21"/>
              <w:widowControl w:val="0"/>
              <w:ind w:left="0" w:firstLine="0"/>
              <w:rPr>
                <w:lang w:val="en-GB"/>
              </w:rPr>
            </w:pPr>
            <w:r w:rsidRPr="006D4214">
              <w:rPr>
                <w:lang w:val="en-GB"/>
              </w:rPr>
              <w:t xml:space="preserve">Monitoring the state and the main power engineering industry </w:t>
            </w:r>
            <w:r>
              <w:rPr>
                <w:lang w:val="en-US"/>
              </w:rPr>
              <w:t xml:space="preserve">facility </w:t>
            </w:r>
            <w:r w:rsidRPr="006D4214">
              <w:rPr>
                <w:lang w:val="en-GB"/>
              </w:rPr>
              <w:t>diagnostics.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214" w:rsidRPr="006D4214" w:rsidRDefault="004C2BFB" w:rsidP="004C2BFB">
            <w:pPr>
              <w:pStyle w:val="21"/>
              <w:widowControl w:val="0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6D4214" w:rsidRPr="006D4214">
              <w:rPr>
                <w:lang w:val="en-GB"/>
              </w:rPr>
              <w:t xml:space="preserve">he technical and economic indicators of the power equipment: goals, tasks, history of development, the impact on the formation of tariffs on </w:t>
            </w:r>
            <w:r>
              <w:rPr>
                <w:lang w:val="en-GB"/>
              </w:rPr>
              <w:t xml:space="preserve">the </w:t>
            </w:r>
            <w:r w:rsidR="006D4214" w:rsidRPr="006D4214">
              <w:rPr>
                <w:lang w:val="en-GB"/>
              </w:rPr>
              <w:t xml:space="preserve">heat and </w:t>
            </w:r>
            <w:r>
              <w:rPr>
                <w:lang w:val="en-GB"/>
              </w:rPr>
              <w:t>electricity</w:t>
            </w:r>
            <w:r w:rsidR="006D4214" w:rsidRPr="006D4214">
              <w:rPr>
                <w:lang w:val="en-GB"/>
              </w:rPr>
              <w:t xml:space="preserve"> released; encoding equipment</w:t>
            </w:r>
          </w:p>
          <w:p w:rsidR="006D4214" w:rsidRPr="004C2BFB" w:rsidRDefault="006D4214" w:rsidP="004C2BFB">
            <w:pPr>
              <w:pStyle w:val="21"/>
              <w:widowControl w:val="0"/>
              <w:ind w:left="0" w:firstLine="0"/>
              <w:rPr>
                <w:highlight w:val="yellow"/>
                <w:lang w:val="en-US"/>
              </w:rPr>
            </w:pPr>
            <w:r w:rsidRPr="006D4214">
              <w:rPr>
                <w:lang w:val="en-GB"/>
              </w:rPr>
              <w:t>Monitoring the condition</w:t>
            </w:r>
            <w:r w:rsidR="004C2BFB">
              <w:rPr>
                <w:lang w:val="en-GB"/>
              </w:rPr>
              <w:t xml:space="preserve"> and diagnosing</w:t>
            </w:r>
            <w:r w:rsidRPr="006D4214">
              <w:rPr>
                <w:lang w:val="en-GB"/>
              </w:rPr>
              <w:t xml:space="preserve"> the equipment of </w:t>
            </w:r>
            <w:r w:rsidR="004C2BFB">
              <w:rPr>
                <w:lang w:val="en-GB"/>
              </w:rPr>
              <w:t>a steam turbine plant, such as a</w:t>
            </w:r>
            <w:r w:rsidRPr="006D4214">
              <w:rPr>
                <w:lang w:val="en-GB"/>
              </w:rPr>
              <w:t xml:space="preserve"> steam turbine, </w:t>
            </w:r>
            <w:r w:rsidR="004C2BFB">
              <w:rPr>
                <w:lang w:val="en-GB"/>
              </w:rPr>
              <w:t xml:space="preserve">a </w:t>
            </w:r>
            <w:r w:rsidRPr="006D4214">
              <w:rPr>
                <w:lang w:val="en-GB"/>
              </w:rPr>
              <w:t xml:space="preserve">condensation plant, </w:t>
            </w:r>
            <w:r w:rsidR="004C2BFB">
              <w:rPr>
                <w:lang w:val="en-GB"/>
              </w:rPr>
              <w:t xml:space="preserve">a </w:t>
            </w:r>
            <w:r w:rsidRPr="006D4214">
              <w:rPr>
                <w:lang w:val="en-GB"/>
              </w:rPr>
              <w:t xml:space="preserve">turbine regeneration system, </w:t>
            </w:r>
            <w:r w:rsidR="004C2BFB">
              <w:rPr>
                <w:lang w:val="en-GB"/>
              </w:rPr>
              <w:t xml:space="preserve">a </w:t>
            </w:r>
            <w:r w:rsidRPr="006D4214">
              <w:rPr>
                <w:lang w:val="en-GB"/>
              </w:rPr>
              <w:t xml:space="preserve">water </w:t>
            </w:r>
            <w:r w:rsidR="004C2BFB">
              <w:rPr>
                <w:lang w:val="en-GB"/>
              </w:rPr>
              <w:t>heater, evaporators, deaerators</w:t>
            </w:r>
            <w:r w:rsidRPr="006D4214">
              <w:rPr>
                <w:lang w:val="en-GB"/>
              </w:rPr>
              <w:t xml:space="preserve"> etc. (at the level of </w:t>
            </w:r>
            <w:r w:rsidR="004C2BFB">
              <w:rPr>
                <w:lang w:val="en-GB"/>
              </w:rPr>
              <w:t xml:space="preserve">process sub-systems of </w:t>
            </w:r>
            <w:r w:rsidR="004C2BFB" w:rsidRPr="004C2BFB">
              <w:rPr>
                <w:lang w:val="en-GB"/>
              </w:rPr>
              <w:t>steam turbine plant</w:t>
            </w:r>
            <w:r w:rsidR="004C2BFB">
              <w:rPr>
                <w:lang w:val="en-US"/>
              </w:rPr>
              <w:t>s</w:t>
            </w:r>
            <w:r w:rsidR="00171AE1">
              <w:rPr>
                <w:lang w:val="en-US"/>
              </w:rPr>
              <w:t xml:space="preserve"> (STP)</w:t>
            </w:r>
            <w:r w:rsidRPr="006D4214">
              <w:rPr>
                <w:lang w:val="en-GB"/>
              </w:rPr>
              <w:t>)</w:t>
            </w:r>
          </w:p>
        </w:tc>
      </w:tr>
      <w:tr w:rsidR="006D4214" w:rsidRPr="00D04C01" w:rsidTr="00A01AC8">
        <w:trPr>
          <w:trHeight w:val="5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14" w:rsidRPr="00712DCA" w:rsidRDefault="006D4214" w:rsidP="00A01AC8">
            <w:pPr>
              <w:jc w:val="center"/>
              <w:rPr>
                <w:b/>
                <w:lang w:val="en-GB"/>
              </w:rPr>
            </w:pPr>
            <w:r w:rsidRPr="00712DCA">
              <w:rPr>
                <w:b/>
                <w:lang w:val="en-GB"/>
              </w:rPr>
              <w:t>Р3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214" w:rsidRPr="00712DCA" w:rsidRDefault="00171AE1" w:rsidP="00171AE1">
            <w:pPr>
              <w:pStyle w:val="21"/>
              <w:widowControl w:val="0"/>
              <w:ind w:left="0" w:firstLine="0"/>
              <w:rPr>
                <w:lang w:val="en-GB"/>
              </w:rPr>
            </w:pPr>
            <w:r w:rsidRPr="00171AE1">
              <w:rPr>
                <w:lang w:val="en-GB"/>
              </w:rPr>
              <w:t xml:space="preserve">Increase </w:t>
            </w:r>
            <w:r>
              <w:rPr>
                <w:lang w:val="en-GB"/>
              </w:rPr>
              <w:t>in the</w:t>
            </w:r>
            <w:r w:rsidRPr="00171AE1">
              <w:rPr>
                <w:lang w:val="en-GB"/>
              </w:rPr>
              <w:t xml:space="preserve"> efficiency and reliability of heat exchangers of steam turbine </w:t>
            </w:r>
            <w:r>
              <w:rPr>
                <w:lang w:val="en-GB"/>
              </w:rPr>
              <w:t>plants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AE1" w:rsidRDefault="00171AE1" w:rsidP="00171AE1">
            <w:pPr>
              <w:pStyle w:val="21"/>
              <w:widowControl w:val="0"/>
              <w:ind w:left="0" w:firstLine="0"/>
              <w:rPr>
                <w:lang w:val="en-GB"/>
              </w:rPr>
            </w:pPr>
            <w:r w:rsidRPr="00171AE1">
              <w:rPr>
                <w:lang w:val="en-GB"/>
              </w:rPr>
              <w:t xml:space="preserve">Technical characteristics and typical designs of </w:t>
            </w:r>
            <w:r>
              <w:rPr>
                <w:lang w:val="en-US"/>
              </w:rPr>
              <w:t>STP</w:t>
            </w:r>
            <w:r w:rsidRPr="00171AE1">
              <w:rPr>
                <w:lang w:val="en-GB"/>
              </w:rPr>
              <w:t xml:space="preserve"> heat exchangers: an analysis </w:t>
            </w:r>
            <w:r>
              <w:rPr>
                <w:lang w:val="en-GB"/>
              </w:rPr>
              <w:t xml:space="preserve">of the capabilities of methods </w:t>
            </w:r>
            <w:r w:rsidRPr="00171AE1">
              <w:rPr>
                <w:lang w:val="en-GB"/>
              </w:rPr>
              <w:t>for imp</w:t>
            </w:r>
            <w:r>
              <w:rPr>
                <w:lang w:val="en-GB"/>
              </w:rPr>
              <w:t>roving specific heat exchangers</w:t>
            </w:r>
            <w:r w:rsidRPr="00171AE1">
              <w:rPr>
                <w:lang w:val="en-GB"/>
              </w:rPr>
              <w:t xml:space="preserve"> taking into account the modes (parameters) of their operation and design.</w:t>
            </w:r>
          </w:p>
          <w:p w:rsidR="00171AE1" w:rsidRDefault="00171AE1" w:rsidP="00171AE1">
            <w:pPr>
              <w:pStyle w:val="21"/>
              <w:widowControl w:val="0"/>
              <w:ind w:left="0" w:firstLine="0"/>
              <w:rPr>
                <w:lang w:val="en-GB"/>
              </w:rPr>
            </w:pPr>
            <w:r w:rsidRPr="00171AE1">
              <w:rPr>
                <w:lang w:val="en-GB"/>
              </w:rPr>
              <w:t>Increase in</w:t>
            </w:r>
            <w:r>
              <w:rPr>
                <w:lang w:val="en-GB"/>
              </w:rPr>
              <w:t xml:space="preserve"> the</w:t>
            </w:r>
            <w:r w:rsidRPr="00171AE1">
              <w:rPr>
                <w:lang w:val="en-GB"/>
              </w:rPr>
              <w:t xml:space="preserve"> thermal efficiency of heat exchangers: </w:t>
            </w:r>
            <w:r>
              <w:rPr>
                <w:lang w:val="en-GB"/>
              </w:rPr>
              <w:t xml:space="preserve">an </w:t>
            </w:r>
            <w:r w:rsidRPr="00171AE1">
              <w:rPr>
                <w:lang w:val="en-GB"/>
              </w:rPr>
              <w:t xml:space="preserve">experimental </w:t>
            </w:r>
            <w:r>
              <w:rPr>
                <w:lang w:val="en-GB"/>
              </w:rPr>
              <w:t>research into</w:t>
            </w:r>
            <w:r w:rsidRPr="00171AE1">
              <w:rPr>
                <w:lang w:val="en-GB"/>
              </w:rPr>
              <w:t xml:space="preserve"> physical processes occurring in heat exchangers with a heat exchange surface from profile twisted tubes, other ways of increasing the heat transfer intensity, and the influence of various technological and operational fact</w:t>
            </w:r>
            <w:r w:rsidR="003D7B1D">
              <w:rPr>
                <w:lang w:val="en-GB"/>
              </w:rPr>
              <w:t>ors on the performance</w:t>
            </w:r>
            <w:r w:rsidRPr="00171AE1">
              <w:rPr>
                <w:lang w:val="en-GB"/>
              </w:rPr>
              <w:t xml:space="preserve">s of apparatuses. </w:t>
            </w:r>
            <w:r w:rsidR="003D7B1D">
              <w:rPr>
                <w:lang w:val="en-GB"/>
              </w:rPr>
              <w:t>An i</w:t>
            </w:r>
            <w:r w:rsidRPr="00171AE1">
              <w:rPr>
                <w:lang w:val="en-GB"/>
              </w:rPr>
              <w:t xml:space="preserve">ncrease </w:t>
            </w:r>
            <w:r w:rsidR="003D7B1D">
              <w:rPr>
                <w:lang w:val="en-GB"/>
              </w:rPr>
              <w:t>in the</w:t>
            </w:r>
            <w:r w:rsidRPr="00171AE1">
              <w:rPr>
                <w:lang w:val="en-GB"/>
              </w:rPr>
              <w:t xml:space="preserve"> reliability of heat exchangers in terms of corrosion </w:t>
            </w:r>
            <w:r w:rsidRPr="00171AE1">
              <w:rPr>
                <w:lang w:val="en-GB"/>
              </w:rPr>
              <w:lastRenderedPageBreak/>
              <w:t xml:space="preserve">resistance of tube material and their vibration characteristics. </w:t>
            </w:r>
            <w:r w:rsidR="003D7B1D">
              <w:rPr>
                <w:lang w:val="en-GB"/>
              </w:rPr>
              <w:t>Process-related</w:t>
            </w:r>
            <w:r w:rsidRPr="00171AE1">
              <w:rPr>
                <w:lang w:val="en-GB"/>
              </w:rPr>
              <w:t xml:space="preserve"> measures that improve the reliability of heat exchangers.</w:t>
            </w:r>
          </w:p>
          <w:p w:rsidR="00171AE1" w:rsidRPr="00171AE1" w:rsidRDefault="00171AE1" w:rsidP="00171AE1">
            <w:pPr>
              <w:pStyle w:val="21"/>
              <w:widowControl w:val="0"/>
              <w:ind w:left="0" w:firstLine="0"/>
              <w:rPr>
                <w:lang w:val="en-GB"/>
              </w:rPr>
            </w:pPr>
            <w:r w:rsidRPr="00171AE1">
              <w:rPr>
                <w:lang w:val="en-GB"/>
              </w:rPr>
              <w:t xml:space="preserve">Methods for calculating heat exchangers. The influence of factors on the effectiveness and reliability of their </w:t>
            </w:r>
            <w:r w:rsidR="003D7B1D">
              <w:rPr>
                <w:lang w:val="en-GB"/>
              </w:rPr>
              <w:t>operation</w:t>
            </w:r>
            <w:r w:rsidRPr="00171AE1">
              <w:rPr>
                <w:lang w:val="en-GB"/>
              </w:rPr>
              <w:t>.</w:t>
            </w:r>
          </w:p>
          <w:p w:rsidR="00171AE1" w:rsidRPr="00171AE1" w:rsidRDefault="00171AE1" w:rsidP="00171AE1">
            <w:pPr>
              <w:pStyle w:val="21"/>
              <w:widowControl w:val="0"/>
              <w:ind w:left="0" w:firstLine="0"/>
              <w:rPr>
                <w:lang w:val="en-GB"/>
              </w:rPr>
            </w:pPr>
            <w:r w:rsidRPr="00171AE1">
              <w:rPr>
                <w:lang w:val="en-GB"/>
              </w:rPr>
              <w:t xml:space="preserve">Operational monitoring the technical condition of heat exchangers for </w:t>
            </w:r>
            <w:r w:rsidR="003D7B1D">
              <w:rPr>
                <w:lang w:val="en-GB"/>
              </w:rPr>
              <w:t>STP</w:t>
            </w:r>
            <w:r w:rsidRPr="00171AE1">
              <w:rPr>
                <w:lang w:val="en-GB"/>
              </w:rPr>
              <w:t>.</w:t>
            </w:r>
          </w:p>
          <w:p w:rsidR="006D4214" w:rsidRPr="00712DCA" w:rsidRDefault="00171AE1" w:rsidP="00171AE1">
            <w:pPr>
              <w:pStyle w:val="21"/>
              <w:widowControl w:val="0"/>
              <w:ind w:left="0" w:firstLine="0"/>
              <w:rPr>
                <w:highlight w:val="yellow"/>
                <w:lang w:val="en-GB"/>
              </w:rPr>
            </w:pPr>
            <w:r w:rsidRPr="00171AE1">
              <w:rPr>
                <w:lang w:val="en-GB"/>
              </w:rPr>
              <w:t>Development of highly efficient heat exchangers.</w:t>
            </w:r>
          </w:p>
        </w:tc>
      </w:tr>
      <w:tr w:rsidR="006D4214" w:rsidRPr="00D04C01" w:rsidTr="00A01AC8">
        <w:trPr>
          <w:trHeight w:val="5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14" w:rsidRPr="00712DCA" w:rsidRDefault="006D4214" w:rsidP="00A01AC8">
            <w:pPr>
              <w:jc w:val="center"/>
              <w:rPr>
                <w:b/>
                <w:lang w:val="en-GB"/>
              </w:rPr>
            </w:pPr>
            <w:r w:rsidRPr="00712DCA">
              <w:rPr>
                <w:b/>
                <w:lang w:val="en-GB"/>
              </w:rPr>
              <w:lastRenderedPageBreak/>
              <w:t>Р4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214" w:rsidRPr="00712DCA" w:rsidRDefault="003D7B1D" w:rsidP="00A01AC8">
            <w:pPr>
              <w:pStyle w:val="21"/>
              <w:widowControl w:val="0"/>
              <w:ind w:left="0" w:firstLine="0"/>
              <w:rPr>
                <w:lang w:val="en-GB"/>
              </w:rPr>
            </w:pPr>
            <w:r w:rsidRPr="003D7B1D">
              <w:rPr>
                <w:lang w:val="en-GB"/>
              </w:rPr>
              <w:t>Modern thermal engines and installations.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214" w:rsidRPr="00712DCA" w:rsidRDefault="003D7B1D" w:rsidP="00A01AC8">
            <w:pPr>
              <w:pStyle w:val="21"/>
              <w:widowControl w:val="0"/>
              <w:ind w:left="0" w:firstLine="0"/>
              <w:rPr>
                <w:highlight w:val="yellow"/>
                <w:lang w:val="en-GB"/>
              </w:rPr>
            </w:pPr>
            <w:r w:rsidRPr="003D7B1D">
              <w:rPr>
                <w:lang w:val="en-GB"/>
              </w:rPr>
              <w:t xml:space="preserve">Features of the operation of thermal engines at TPPs, nuclear power plants, condensation plants and in </w:t>
            </w:r>
            <w:r>
              <w:rPr>
                <w:lang w:val="en-GB"/>
              </w:rPr>
              <w:t xml:space="preserve">the </w:t>
            </w:r>
            <w:r w:rsidRPr="003D7B1D">
              <w:rPr>
                <w:lang w:val="en-GB"/>
              </w:rPr>
              <w:t>industry. Comparative technical and economic indicators, efficiency, conditional fuel consumption, environmental safety.</w:t>
            </w:r>
          </w:p>
        </w:tc>
      </w:tr>
      <w:tr w:rsidR="003D7B1D" w:rsidRPr="00D04C01" w:rsidTr="008D4EC6">
        <w:trPr>
          <w:trHeight w:val="5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1D" w:rsidRPr="00712DCA" w:rsidRDefault="003D7B1D" w:rsidP="003D7B1D">
            <w:pPr>
              <w:jc w:val="center"/>
              <w:rPr>
                <w:b/>
                <w:lang w:val="en-GB"/>
              </w:rPr>
            </w:pPr>
            <w:r w:rsidRPr="00712DCA">
              <w:rPr>
                <w:b/>
                <w:lang w:val="en-GB"/>
              </w:rPr>
              <w:t>Р5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1D" w:rsidRPr="007C0B4B" w:rsidRDefault="003D7B1D" w:rsidP="003D7B1D">
            <w:pPr>
              <w:spacing w:line="274" w:lineRule="exact"/>
              <w:ind w:left="120"/>
              <w:jc w:val="left"/>
              <w:rPr>
                <w:lang w:val="en-US"/>
              </w:rPr>
            </w:pPr>
            <w:r w:rsidRPr="007C0B4B">
              <w:rPr>
                <w:rStyle w:val="11"/>
                <w:lang w:val="en-US"/>
              </w:rPr>
              <w:t xml:space="preserve">Modern electrohydraulic systems </w:t>
            </w:r>
            <w:r>
              <w:rPr>
                <w:rStyle w:val="11"/>
                <w:lang w:val="en-US"/>
              </w:rPr>
              <w:t>for the</w:t>
            </w:r>
            <w:r w:rsidRPr="007C0B4B">
              <w:rPr>
                <w:rStyle w:val="11"/>
                <w:lang w:val="en-US"/>
              </w:rPr>
              <w:t xml:space="preserve"> regulation and protection (</w:t>
            </w:r>
            <w:r>
              <w:rPr>
                <w:rStyle w:val="11"/>
                <w:lang w:val="en-US"/>
              </w:rPr>
              <w:t>EHSRP</w:t>
            </w:r>
            <w:r w:rsidRPr="007C0B4B">
              <w:rPr>
                <w:rStyle w:val="11"/>
                <w:lang w:val="en-US"/>
              </w:rPr>
              <w:t>) of steam turbines.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B1D" w:rsidRPr="003D7B1D" w:rsidRDefault="003D7B1D" w:rsidP="003D7B1D">
            <w:pPr>
              <w:spacing w:line="274" w:lineRule="exact"/>
              <w:rPr>
                <w:color w:val="000000"/>
                <w:sz w:val="22"/>
                <w:szCs w:val="22"/>
                <w:lang w:val="en-US" w:bidi="ru-RU"/>
              </w:rPr>
            </w:pPr>
            <w:r w:rsidRPr="007C0B4B">
              <w:rPr>
                <w:rStyle w:val="11"/>
                <w:lang w:val="en-US"/>
              </w:rPr>
              <w:t xml:space="preserve">- </w:t>
            </w:r>
            <w:r>
              <w:rPr>
                <w:rStyle w:val="11"/>
                <w:lang w:val="en-US"/>
              </w:rPr>
              <w:t>EHSRP Need to switch</w:t>
            </w:r>
            <w:r w:rsidRPr="007C0B4B">
              <w:rPr>
                <w:rStyle w:val="11"/>
                <w:lang w:val="en-US"/>
              </w:rPr>
              <w:t xml:space="preserve"> to EHSRP of steam turbines in </w:t>
            </w:r>
            <w:r>
              <w:rPr>
                <w:rStyle w:val="11"/>
                <w:lang w:val="en-US"/>
              </w:rPr>
              <w:t>the present context</w:t>
            </w:r>
            <w:r w:rsidRPr="007C0B4B">
              <w:rPr>
                <w:rStyle w:val="11"/>
                <w:lang w:val="en-US"/>
              </w:rPr>
              <w:t>; structure of EHSRP; EHSRP functions; typical EHSRP nodes; results of EHSRP implementation; - economic efficiency of EHSRP; - mathematical modeling of EHSRP; prospects for further development of EHSRP</w:t>
            </w:r>
          </w:p>
        </w:tc>
      </w:tr>
      <w:bookmarkEnd w:id="1"/>
    </w:tbl>
    <w:p w:rsidR="006D4214" w:rsidRPr="00712DCA" w:rsidRDefault="006D4214" w:rsidP="006D4214">
      <w:pPr>
        <w:rPr>
          <w:lang w:val="en-GB"/>
        </w:rPr>
      </w:pPr>
    </w:p>
    <w:p w:rsidR="006D4214" w:rsidRPr="00712DCA" w:rsidRDefault="006D4214" w:rsidP="006D4214">
      <w:pPr>
        <w:rPr>
          <w:b/>
          <w:bCs/>
          <w:lang w:val="en-GB"/>
        </w:rPr>
      </w:pPr>
      <w:r w:rsidRPr="00712DCA">
        <w:rPr>
          <w:b/>
          <w:bCs/>
          <w:lang w:val="en-GB"/>
        </w:rPr>
        <w:t>3. PROCEDURES FOR THE LEARNING OUTCOME MONITORING AND EVALUATION</w:t>
      </w:r>
    </w:p>
    <w:p w:rsidR="006D4214" w:rsidRPr="00712DCA" w:rsidRDefault="006D4214" w:rsidP="006D4214">
      <w:pPr>
        <w:rPr>
          <w:lang w:val="en-GB"/>
        </w:rPr>
      </w:pPr>
    </w:p>
    <w:p w:rsidR="006D4214" w:rsidRPr="00712DCA" w:rsidRDefault="006D4214" w:rsidP="006D4214">
      <w:pPr>
        <w:rPr>
          <w:lang w:val="en-GB"/>
        </w:rPr>
      </w:pPr>
      <w:r w:rsidRPr="00712DCA">
        <w:rPr>
          <w:lang w:val="en-GB"/>
        </w:rPr>
        <w:t>The discipline provides for the final attestation in the form of a test.</w:t>
      </w:r>
    </w:p>
    <w:p w:rsidR="006D4214" w:rsidRPr="00712DCA" w:rsidRDefault="006D4214" w:rsidP="006D4214">
      <w:pPr>
        <w:rPr>
          <w:lang w:val="en-GB"/>
        </w:rPr>
      </w:pPr>
    </w:p>
    <w:p w:rsidR="00085252" w:rsidRPr="00085252" w:rsidRDefault="00085252" w:rsidP="00085252">
      <w:pPr>
        <w:rPr>
          <w:lang w:val="en-GB"/>
        </w:rPr>
      </w:pPr>
      <w:r w:rsidRPr="00085252">
        <w:rPr>
          <w:lang w:val="en-GB"/>
        </w:rPr>
        <w:t xml:space="preserve">1. </w:t>
      </w:r>
      <w:r w:rsidR="0051052D">
        <w:rPr>
          <w:lang w:val="en-GB"/>
        </w:rPr>
        <w:t>M</w:t>
      </w:r>
      <w:r w:rsidRPr="00085252">
        <w:rPr>
          <w:lang w:val="en-GB"/>
        </w:rPr>
        <w:t>ilestones for the creation and development of thermal engines (T</w:t>
      </w:r>
      <w:r w:rsidR="0051052D">
        <w:rPr>
          <w:lang w:val="en-GB"/>
        </w:rPr>
        <w:t>E</w:t>
      </w:r>
      <w:r w:rsidRPr="00085252">
        <w:rPr>
          <w:lang w:val="en-GB"/>
        </w:rPr>
        <w:t>); field of application.</w:t>
      </w:r>
    </w:p>
    <w:p w:rsidR="00085252" w:rsidRPr="00085252" w:rsidRDefault="00085252" w:rsidP="00085252">
      <w:pPr>
        <w:rPr>
          <w:lang w:val="en-GB"/>
        </w:rPr>
      </w:pPr>
      <w:r w:rsidRPr="00085252">
        <w:rPr>
          <w:lang w:val="en-GB"/>
        </w:rPr>
        <w:t xml:space="preserve">2. </w:t>
      </w:r>
      <w:r w:rsidR="0051052D" w:rsidRPr="00085252">
        <w:rPr>
          <w:lang w:val="en-GB"/>
        </w:rPr>
        <w:t>T</w:t>
      </w:r>
      <w:r w:rsidR="0051052D">
        <w:rPr>
          <w:lang w:val="en-GB"/>
        </w:rPr>
        <w:t>E</w:t>
      </w:r>
      <w:r w:rsidR="0051052D" w:rsidRPr="00085252">
        <w:rPr>
          <w:lang w:val="en-GB"/>
        </w:rPr>
        <w:t xml:space="preserve"> </w:t>
      </w:r>
      <w:r w:rsidR="0051052D">
        <w:rPr>
          <w:lang w:val="en-GB"/>
        </w:rPr>
        <w:t>l</w:t>
      </w:r>
      <w:r w:rsidRPr="00085252">
        <w:rPr>
          <w:lang w:val="en-GB"/>
        </w:rPr>
        <w:t>ife cycle: the main stages, their mutual influence.</w:t>
      </w:r>
    </w:p>
    <w:p w:rsidR="00085252" w:rsidRPr="00085252" w:rsidRDefault="00085252" w:rsidP="00085252">
      <w:pPr>
        <w:rPr>
          <w:lang w:val="en-GB"/>
        </w:rPr>
      </w:pPr>
      <w:r w:rsidRPr="00085252">
        <w:rPr>
          <w:lang w:val="en-GB"/>
        </w:rPr>
        <w:t>3. Features of development, manufacturing (production) and operation of T</w:t>
      </w:r>
      <w:r w:rsidR="0051052D">
        <w:rPr>
          <w:lang w:val="en-GB"/>
        </w:rPr>
        <w:t>E</w:t>
      </w:r>
      <w:r w:rsidRPr="00085252">
        <w:rPr>
          <w:lang w:val="en-GB"/>
        </w:rPr>
        <w:t>.</w:t>
      </w:r>
    </w:p>
    <w:p w:rsidR="00085252" w:rsidRPr="00085252" w:rsidRDefault="00085252" w:rsidP="00085252">
      <w:pPr>
        <w:rPr>
          <w:lang w:val="en-GB"/>
        </w:rPr>
      </w:pPr>
      <w:r w:rsidRPr="00085252">
        <w:rPr>
          <w:lang w:val="en-GB"/>
        </w:rPr>
        <w:t xml:space="preserve">4. Features of the </w:t>
      </w:r>
      <w:r w:rsidR="0051052D">
        <w:rPr>
          <w:lang w:val="en-GB"/>
        </w:rPr>
        <w:t>operation</w:t>
      </w:r>
      <w:r w:rsidRPr="00085252">
        <w:rPr>
          <w:lang w:val="en-GB"/>
        </w:rPr>
        <w:t xml:space="preserve"> of T</w:t>
      </w:r>
      <w:r w:rsidR="0051052D">
        <w:rPr>
          <w:lang w:val="en-GB"/>
        </w:rPr>
        <w:t>E</w:t>
      </w:r>
      <w:r w:rsidRPr="00085252">
        <w:rPr>
          <w:lang w:val="en-GB"/>
        </w:rPr>
        <w:t>s at TPPs, NPPs, CS and in industry.</w:t>
      </w:r>
    </w:p>
    <w:p w:rsidR="00085252" w:rsidRPr="00085252" w:rsidRDefault="00085252" w:rsidP="00085252">
      <w:pPr>
        <w:rPr>
          <w:lang w:val="en-GB"/>
        </w:rPr>
      </w:pPr>
      <w:r w:rsidRPr="00085252">
        <w:rPr>
          <w:lang w:val="en-GB"/>
        </w:rPr>
        <w:t xml:space="preserve">5. Comparative technical and economic indicators </w:t>
      </w:r>
      <w:r w:rsidR="0051052D">
        <w:rPr>
          <w:lang w:val="en-GB"/>
        </w:rPr>
        <w:t>of</w:t>
      </w:r>
      <w:r w:rsidR="0051052D" w:rsidRPr="0051052D">
        <w:rPr>
          <w:lang w:val="en-GB"/>
        </w:rPr>
        <w:t xml:space="preserve"> </w:t>
      </w:r>
      <w:r w:rsidR="0051052D" w:rsidRPr="00085252">
        <w:rPr>
          <w:lang w:val="en-GB"/>
        </w:rPr>
        <w:t>T</w:t>
      </w:r>
      <w:r w:rsidR="0051052D">
        <w:rPr>
          <w:lang w:val="en-GB"/>
        </w:rPr>
        <w:t>E</w:t>
      </w:r>
      <w:r w:rsidRPr="00085252">
        <w:rPr>
          <w:lang w:val="en-GB"/>
        </w:rPr>
        <w:t>.</w:t>
      </w:r>
    </w:p>
    <w:p w:rsidR="00085252" w:rsidRPr="00085252" w:rsidRDefault="00085252" w:rsidP="00085252">
      <w:pPr>
        <w:rPr>
          <w:lang w:val="en-GB"/>
        </w:rPr>
      </w:pPr>
      <w:r w:rsidRPr="00085252">
        <w:rPr>
          <w:lang w:val="en-GB"/>
        </w:rPr>
        <w:t xml:space="preserve">6. Change in the </w:t>
      </w:r>
      <w:r w:rsidR="0051052D" w:rsidRPr="00085252">
        <w:rPr>
          <w:lang w:val="en-GB"/>
        </w:rPr>
        <w:t xml:space="preserve">electricity generation </w:t>
      </w:r>
      <w:r w:rsidRPr="00085252">
        <w:rPr>
          <w:lang w:val="en-GB"/>
        </w:rPr>
        <w:t xml:space="preserve">volumes and indicators </w:t>
      </w:r>
      <w:r w:rsidR="0051052D">
        <w:rPr>
          <w:lang w:val="en-GB"/>
        </w:rPr>
        <w:t>with</w:t>
      </w:r>
      <w:r w:rsidRPr="00085252">
        <w:rPr>
          <w:lang w:val="en-GB"/>
        </w:rPr>
        <w:t xml:space="preserve"> all types of power plants.</w:t>
      </w:r>
    </w:p>
    <w:p w:rsidR="00085252" w:rsidRPr="00085252" w:rsidRDefault="00085252" w:rsidP="00085252">
      <w:pPr>
        <w:rPr>
          <w:lang w:val="en-GB"/>
        </w:rPr>
      </w:pPr>
      <w:r w:rsidRPr="00085252">
        <w:rPr>
          <w:lang w:val="en-GB"/>
        </w:rPr>
        <w:t xml:space="preserve">7. </w:t>
      </w:r>
      <w:r w:rsidR="0051052D">
        <w:rPr>
          <w:lang w:val="en-GB"/>
        </w:rPr>
        <w:t>Key</w:t>
      </w:r>
      <w:r w:rsidRPr="00085252">
        <w:rPr>
          <w:lang w:val="en-GB"/>
        </w:rPr>
        <w:t xml:space="preserve"> producers of power equipment in the Russian Federation; </w:t>
      </w:r>
      <w:r w:rsidR="0051052D">
        <w:rPr>
          <w:lang w:val="en-US"/>
        </w:rPr>
        <w:t>the ranges</w:t>
      </w:r>
      <w:r w:rsidRPr="00085252">
        <w:rPr>
          <w:lang w:val="en-GB"/>
        </w:rPr>
        <w:t xml:space="preserve"> of equipment sizes.</w:t>
      </w:r>
    </w:p>
    <w:p w:rsidR="00085252" w:rsidRPr="00085252" w:rsidRDefault="00085252" w:rsidP="00085252">
      <w:pPr>
        <w:rPr>
          <w:lang w:val="en-GB"/>
        </w:rPr>
      </w:pPr>
      <w:r w:rsidRPr="00085252">
        <w:rPr>
          <w:lang w:val="en-GB"/>
        </w:rPr>
        <w:t xml:space="preserve">8. </w:t>
      </w:r>
      <w:r w:rsidR="0051052D">
        <w:rPr>
          <w:lang w:val="en-GB"/>
        </w:rPr>
        <w:t>Most recent</w:t>
      </w:r>
      <w:r w:rsidRPr="00085252">
        <w:rPr>
          <w:lang w:val="en-GB"/>
        </w:rPr>
        <w:t xml:space="preserve"> </w:t>
      </w:r>
      <w:r w:rsidR="0051052D" w:rsidRPr="00085252">
        <w:rPr>
          <w:lang w:val="en-GB"/>
        </w:rPr>
        <w:t xml:space="preserve">power engineering </w:t>
      </w:r>
      <w:r w:rsidRPr="00085252">
        <w:rPr>
          <w:lang w:val="en-GB"/>
        </w:rPr>
        <w:t>technologies.</w:t>
      </w:r>
    </w:p>
    <w:p w:rsidR="00085252" w:rsidRPr="00085252" w:rsidRDefault="0051052D" w:rsidP="00085252">
      <w:pPr>
        <w:rPr>
          <w:lang w:val="en-GB"/>
        </w:rPr>
      </w:pPr>
      <w:r>
        <w:rPr>
          <w:lang w:val="en-GB"/>
        </w:rPr>
        <w:t>9. Ways (methods) of the s</w:t>
      </w:r>
      <w:r w:rsidR="00085252" w:rsidRPr="00085252">
        <w:rPr>
          <w:lang w:val="en-GB"/>
        </w:rPr>
        <w:t xml:space="preserve">tate influence on the efficiency and reliability of </w:t>
      </w:r>
      <w:r>
        <w:rPr>
          <w:lang w:val="en-GB"/>
        </w:rPr>
        <w:t xml:space="preserve">the </w:t>
      </w:r>
      <w:r w:rsidR="00085252" w:rsidRPr="00085252">
        <w:rPr>
          <w:lang w:val="en-GB"/>
        </w:rPr>
        <w:t xml:space="preserve">energy </w:t>
      </w:r>
      <w:r>
        <w:rPr>
          <w:lang w:val="en-GB"/>
        </w:rPr>
        <w:t xml:space="preserve">sector </w:t>
      </w:r>
      <w:r w:rsidR="00085252" w:rsidRPr="00085252">
        <w:rPr>
          <w:lang w:val="en-GB"/>
        </w:rPr>
        <w:t>and power engineering.</w:t>
      </w:r>
    </w:p>
    <w:p w:rsidR="00085252" w:rsidRDefault="00085252" w:rsidP="00085252">
      <w:pPr>
        <w:rPr>
          <w:lang w:val="en-GB"/>
        </w:rPr>
      </w:pPr>
      <w:r w:rsidRPr="00085252">
        <w:rPr>
          <w:lang w:val="en-GB"/>
        </w:rPr>
        <w:t>10. Perspectives and reserves of energy saving due to the improvement of the T</w:t>
      </w:r>
      <w:r w:rsidR="0051052D">
        <w:rPr>
          <w:lang w:val="en-GB"/>
        </w:rPr>
        <w:t>E</w:t>
      </w:r>
      <w:r w:rsidRPr="00085252">
        <w:rPr>
          <w:lang w:val="en-GB"/>
        </w:rPr>
        <w:t xml:space="preserve"> at all stages of their life cycle.</w:t>
      </w:r>
    </w:p>
    <w:p w:rsidR="00085252" w:rsidRPr="00085252" w:rsidRDefault="00085252" w:rsidP="00085252">
      <w:pPr>
        <w:rPr>
          <w:lang w:val="en-GB"/>
        </w:rPr>
      </w:pPr>
      <w:r w:rsidRPr="00085252">
        <w:rPr>
          <w:lang w:val="en-GB"/>
        </w:rPr>
        <w:t>11. Monitoring, diagnostics, control: definitions and interrelation of concepts.</w:t>
      </w:r>
    </w:p>
    <w:p w:rsidR="00085252" w:rsidRPr="00085252" w:rsidRDefault="00085252" w:rsidP="00085252">
      <w:pPr>
        <w:rPr>
          <w:lang w:val="en-GB"/>
        </w:rPr>
      </w:pPr>
      <w:r w:rsidRPr="00085252">
        <w:rPr>
          <w:lang w:val="en-GB"/>
        </w:rPr>
        <w:t>12. Structure of</w:t>
      </w:r>
      <w:r w:rsidR="0051052D">
        <w:rPr>
          <w:lang w:val="en-GB"/>
        </w:rPr>
        <w:t xml:space="preserve"> the</w:t>
      </w:r>
      <w:r w:rsidRPr="00085252">
        <w:rPr>
          <w:lang w:val="en-GB"/>
        </w:rPr>
        <w:t xml:space="preserve"> technical and economic </w:t>
      </w:r>
      <w:r w:rsidR="0051052D">
        <w:rPr>
          <w:lang w:val="en-GB"/>
        </w:rPr>
        <w:t>performances</w:t>
      </w:r>
      <w:r w:rsidRPr="00085252">
        <w:rPr>
          <w:lang w:val="en-GB"/>
        </w:rPr>
        <w:t xml:space="preserve">. Communication of </w:t>
      </w:r>
      <w:r w:rsidR="0051052D">
        <w:rPr>
          <w:lang w:val="en-GB"/>
        </w:rPr>
        <w:t>the</w:t>
      </w:r>
      <w:r w:rsidR="0051052D" w:rsidRPr="0051052D">
        <w:rPr>
          <w:lang w:val="en-GB"/>
        </w:rPr>
        <w:t xml:space="preserve"> </w:t>
      </w:r>
      <w:r w:rsidR="0051052D" w:rsidRPr="00085252">
        <w:rPr>
          <w:lang w:val="en-GB"/>
        </w:rPr>
        <w:t xml:space="preserve">technical and economic </w:t>
      </w:r>
      <w:r w:rsidR="0051052D">
        <w:rPr>
          <w:lang w:val="en-GB"/>
        </w:rPr>
        <w:t>performances</w:t>
      </w:r>
      <w:r w:rsidRPr="00085252">
        <w:rPr>
          <w:lang w:val="en-GB"/>
        </w:rPr>
        <w:t xml:space="preserve"> and tariffs for energy</w:t>
      </w:r>
      <w:r w:rsidR="0051052D" w:rsidRPr="0051052D">
        <w:rPr>
          <w:lang w:val="en-GB"/>
        </w:rPr>
        <w:t xml:space="preserve"> </w:t>
      </w:r>
      <w:r w:rsidR="0051052D">
        <w:rPr>
          <w:lang w:val="en-GB"/>
        </w:rPr>
        <w:t>types</w:t>
      </w:r>
      <w:r w:rsidRPr="00085252">
        <w:rPr>
          <w:lang w:val="en-GB"/>
        </w:rPr>
        <w:t>.</w:t>
      </w:r>
    </w:p>
    <w:p w:rsidR="00085252" w:rsidRPr="00085252" w:rsidRDefault="00085252" w:rsidP="00085252">
      <w:pPr>
        <w:rPr>
          <w:lang w:val="en-GB"/>
        </w:rPr>
      </w:pPr>
      <w:r w:rsidRPr="00085252">
        <w:rPr>
          <w:lang w:val="en-GB"/>
        </w:rPr>
        <w:t xml:space="preserve">13. Methods </w:t>
      </w:r>
      <w:r w:rsidR="0051052D">
        <w:rPr>
          <w:lang w:val="en-GB"/>
        </w:rPr>
        <w:t>for</w:t>
      </w:r>
      <w:r w:rsidRPr="00085252">
        <w:rPr>
          <w:lang w:val="en-GB"/>
        </w:rPr>
        <w:t xml:space="preserve"> non-destructive testing of metals.</w:t>
      </w:r>
    </w:p>
    <w:p w:rsidR="00085252" w:rsidRPr="00085252" w:rsidRDefault="00085252" w:rsidP="00085252">
      <w:pPr>
        <w:rPr>
          <w:lang w:val="en-GB"/>
        </w:rPr>
      </w:pPr>
      <w:r w:rsidRPr="00085252">
        <w:rPr>
          <w:lang w:val="en-GB"/>
        </w:rPr>
        <w:t xml:space="preserve">14. Methods </w:t>
      </w:r>
      <w:r w:rsidR="0051052D">
        <w:rPr>
          <w:lang w:val="en-GB"/>
        </w:rPr>
        <w:t>for</w:t>
      </w:r>
      <w:r w:rsidRPr="00085252">
        <w:rPr>
          <w:lang w:val="en-GB"/>
        </w:rPr>
        <w:t xml:space="preserve"> diagnosing </w:t>
      </w:r>
      <w:r w:rsidR="0051052D">
        <w:rPr>
          <w:lang w:val="en-GB"/>
        </w:rPr>
        <w:t xml:space="preserve">the </w:t>
      </w:r>
      <w:r w:rsidRPr="00085252">
        <w:rPr>
          <w:lang w:val="en-GB"/>
        </w:rPr>
        <w:t>power equipment.</w:t>
      </w:r>
    </w:p>
    <w:p w:rsidR="00085252" w:rsidRPr="00085252" w:rsidRDefault="00085252" w:rsidP="00085252">
      <w:pPr>
        <w:rPr>
          <w:lang w:val="en-GB"/>
        </w:rPr>
      </w:pPr>
      <w:r w:rsidRPr="00085252">
        <w:rPr>
          <w:lang w:val="en-GB"/>
        </w:rPr>
        <w:t xml:space="preserve">15. Monitoring the condition, diagnosis and basic malfunctions of the elements of </w:t>
      </w:r>
      <w:r w:rsidR="0051052D">
        <w:rPr>
          <w:lang w:val="en-GB"/>
        </w:rPr>
        <w:t>a</w:t>
      </w:r>
      <w:r w:rsidRPr="00085252">
        <w:rPr>
          <w:lang w:val="en-GB"/>
        </w:rPr>
        <w:t xml:space="preserve"> steam turbine plant: a turbine or one of the </w:t>
      </w:r>
      <w:r w:rsidR="0051052D">
        <w:rPr>
          <w:lang w:val="en-GB"/>
        </w:rPr>
        <w:t>process subsystems of a STP</w:t>
      </w:r>
      <w:r w:rsidRPr="00085252">
        <w:rPr>
          <w:lang w:val="en-GB"/>
        </w:rPr>
        <w:t>.</w:t>
      </w:r>
    </w:p>
    <w:p w:rsidR="00085252" w:rsidRPr="00085252" w:rsidRDefault="00085252" w:rsidP="00085252">
      <w:pPr>
        <w:rPr>
          <w:lang w:val="en-GB"/>
        </w:rPr>
      </w:pPr>
      <w:r w:rsidRPr="00085252">
        <w:rPr>
          <w:lang w:val="en-GB"/>
        </w:rPr>
        <w:t>16. What is the repair and how is it different from maintenance?</w:t>
      </w:r>
    </w:p>
    <w:p w:rsidR="00085252" w:rsidRPr="00085252" w:rsidRDefault="00085252" w:rsidP="00085252">
      <w:pPr>
        <w:rPr>
          <w:lang w:val="en-GB"/>
        </w:rPr>
      </w:pPr>
      <w:r w:rsidRPr="00085252">
        <w:rPr>
          <w:lang w:val="en-GB"/>
        </w:rPr>
        <w:t>17. What are the main types of repair?</w:t>
      </w:r>
    </w:p>
    <w:p w:rsidR="00085252" w:rsidRPr="00085252" w:rsidRDefault="00085252" w:rsidP="00085252">
      <w:pPr>
        <w:rPr>
          <w:lang w:val="en-GB"/>
        </w:rPr>
      </w:pPr>
      <w:r w:rsidRPr="00085252">
        <w:rPr>
          <w:lang w:val="en-GB"/>
        </w:rPr>
        <w:t>18. What are the two major repair strategies currently being implemented, and what is the difference?</w:t>
      </w:r>
    </w:p>
    <w:p w:rsidR="00085252" w:rsidRPr="00085252" w:rsidRDefault="00085252" w:rsidP="00085252">
      <w:pPr>
        <w:rPr>
          <w:lang w:val="en-GB"/>
        </w:rPr>
      </w:pPr>
      <w:r w:rsidRPr="00085252">
        <w:rPr>
          <w:lang w:val="en-GB"/>
        </w:rPr>
        <w:t xml:space="preserve">19. What type of work involves the repair of </w:t>
      </w:r>
      <w:r w:rsidR="0051052D">
        <w:rPr>
          <w:lang w:val="en-GB"/>
        </w:rPr>
        <w:t xml:space="preserve">the </w:t>
      </w:r>
      <w:r w:rsidRPr="00085252">
        <w:rPr>
          <w:lang w:val="en-GB"/>
        </w:rPr>
        <w:t>auxiliary heat exchange equipment?</w:t>
      </w:r>
    </w:p>
    <w:p w:rsidR="00085252" w:rsidRPr="00085252" w:rsidRDefault="00085252" w:rsidP="00085252">
      <w:pPr>
        <w:rPr>
          <w:lang w:val="en-GB"/>
        </w:rPr>
      </w:pPr>
      <w:r w:rsidRPr="00085252">
        <w:rPr>
          <w:lang w:val="en-GB"/>
        </w:rPr>
        <w:lastRenderedPageBreak/>
        <w:t xml:space="preserve">20. List the main requirements for materials </w:t>
      </w:r>
      <w:r w:rsidR="0051052D">
        <w:rPr>
          <w:lang w:val="en-GB"/>
        </w:rPr>
        <w:t>used to manufacture</w:t>
      </w:r>
      <w:r w:rsidRPr="00085252">
        <w:rPr>
          <w:lang w:val="en-GB"/>
        </w:rPr>
        <w:t xml:space="preserve"> the auxiliary heat-excha</w:t>
      </w:r>
      <w:r w:rsidR="0051052D">
        <w:rPr>
          <w:lang w:val="en-GB"/>
        </w:rPr>
        <w:t>nge equipment of power plants</w:t>
      </w:r>
      <w:r w:rsidRPr="00085252">
        <w:rPr>
          <w:lang w:val="en-GB"/>
        </w:rPr>
        <w:t>?</w:t>
      </w:r>
    </w:p>
    <w:p w:rsidR="00085252" w:rsidRPr="00085252" w:rsidRDefault="00085252" w:rsidP="00085252">
      <w:pPr>
        <w:rPr>
          <w:lang w:val="en-GB"/>
        </w:rPr>
      </w:pPr>
      <w:r w:rsidRPr="00085252">
        <w:rPr>
          <w:lang w:val="en-GB"/>
        </w:rPr>
        <w:t xml:space="preserve">21. </w:t>
      </w:r>
      <w:r w:rsidR="0051052D">
        <w:rPr>
          <w:lang w:val="en-GB"/>
        </w:rPr>
        <w:t>EHSRP</w:t>
      </w:r>
      <w:r w:rsidR="0051052D" w:rsidRPr="00085252">
        <w:rPr>
          <w:lang w:val="en-GB"/>
        </w:rPr>
        <w:t xml:space="preserve"> </w:t>
      </w:r>
      <w:r w:rsidR="0051052D">
        <w:rPr>
          <w:lang w:val="en-GB"/>
        </w:rPr>
        <w:t>s</w:t>
      </w:r>
      <w:r w:rsidRPr="00085252">
        <w:rPr>
          <w:lang w:val="en-GB"/>
        </w:rPr>
        <w:t>tr</w:t>
      </w:r>
      <w:r w:rsidR="0051052D">
        <w:rPr>
          <w:lang w:val="en-GB"/>
        </w:rPr>
        <w:t>ucture and functions.</w:t>
      </w:r>
    </w:p>
    <w:p w:rsidR="00085252" w:rsidRPr="00085252" w:rsidRDefault="00085252" w:rsidP="00085252">
      <w:pPr>
        <w:rPr>
          <w:lang w:val="en-GB"/>
        </w:rPr>
      </w:pPr>
      <w:r w:rsidRPr="00085252">
        <w:rPr>
          <w:lang w:val="en-GB"/>
        </w:rPr>
        <w:t xml:space="preserve">22. </w:t>
      </w:r>
      <w:r w:rsidR="0051052D" w:rsidRPr="00085252">
        <w:rPr>
          <w:lang w:val="en-GB"/>
        </w:rPr>
        <w:t xml:space="preserve">EHSRP </w:t>
      </w:r>
      <w:r w:rsidR="0051052D">
        <w:rPr>
          <w:lang w:val="en-GB"/>
        </w:rPr>
        <w:t>c</w:t>
      </w:r>
      <w:r w:rsidRPr="00085252">
        <w:rPr>
          <w:lang w:val="en-GB"/>
        </w:rPr>
        <w:t>ost-effectiveness.</w:t>
      </w:r>
    </w:p>
    <w:p w:rsidR="00172947" w:rsidRPr="001F67A4" w:rsidRDefault="00085252" w:rsidP="00085252">
      <w:pPr>
        <w:rPr>
          <w:lang w:val="en-GB"/>
        </w:rPr>
      </w:pPr>
      <w:r w:rsidRPr="00085252">
        <w:rPr>
          <w:lang w:val="en-GB"/>
        </w:rPr>
        <w:t>23. Prospects for further development of EHSRP</w:t>
      </w:r>
      <w:r w:rsidR="0051052D">
        <w:rPr>
          <w:lang w:val="en-GB"/>
        </w:rPr>
        <w:t>.</w:t>
      </w:r>
    </w:p>
    <w:p w:rsidR="004877C2" w:rsidRDefault="004877C2" w:rsidP="00172947">
      <w:pPr>
        <w:rPr>
          <w:lang w:val="en-US"/>
        </w:rPr>
      </w:pPr>
    </w:p>
    <w:p w:rsidR="00ED4770" w:rsidRPr="00ED4770" w:rsidRDefault="00ED4770" w:rsidP="00ED4770">
      <w:pPr>
        <w:rPr>
          <w:b/>
          <w:bCs/>
          <w:lang w:val="en-US"/>
        </w:rPr>
      </w:pPr>
      <w:r w:rsidRPr="00ED4770">
        <w:rPr>
          <w:b/>
          <w:bCs/>
          <w:lang w:val="en-US"/>
        </w:rPr>
        <w:t>Databases, information, reference and search systems</w:t>
      </w:r>
    </w:p>
    <w:p w:rsidR="00ED4770" w:rsidRPr="00ED4770" w:rsidRDefault="00ED4770" w:rsidP="00ED4770">
      <w:pPr>
        <w:pStyle w:val="a3"/>
        <w:numPr>
          <w:ilvl w:val="0"/>
          <w:numId w:val="9"/>
        </w:numPr>
        <w:rPr>
          <w:sz w:val="24"/>
          <w:szCs w:val="22"/>
          <w:lang w:val="en-US"/>
        </w:rPr>
      </w:pPr>
      <w:r w:rsidRPr="00ED4770">
        <w:rPr>
          <w:sz w:val="24"/>
          <w:szCs w:val="22"/>
          <w:lang w:val="en-US"/>
        </w:rPr>
        <w:t>http://www.google.com and others.</w:t>
      </w:r>
    </w:p>
    <w:p w:rsidR="00ED4770" w:rsidRPr="00ED4770" w:rsidRDefault="00ED4770" w:rsidP="00ED4770">
      <w:pPr>
        <w:pStyle w:val="a3"/>
        <w:numPr>
          <w:ilvl w:val="0"/>
          <w:numId w:val="9"/>
        </w:numPr>
        <w:rPr>
          <w:sz w:val="24"/>
          <w:szCs w:val="22"/>
          <w:lang w:val="en-US"/>
        </w:rPr>
      </w:pPr>
      <w:r w:rsidRPr="00ED4770">
        <w:rPr>
          <w:sz w:val="24"/>
          <w:szCs w:val="22"/>
          <w:lang w:val="en-US"/>
        </w:rPr>
        <w:t>The official website of the Ministry of Energy of the Russian Federation: http://minenergo.gov.ru</w:t>
      </w:r>
    </w:p>
    <w:p w:rsidR="004877C2" w:rsidRPr="00ED4770" w:rsidRDefault="00ED4770" w:rsidP="00ED4770">
      <w:pPr>
        <w:pStyle w:val="a3"/>
        <w:numPr>
          <w:ilvl w:val="0"/>
          <w:numId w:val="9"/>
        </w:numPr>
        <w:rPr>
          <w:sz w:val="24"/>
          <w:szCs w:val="22"/>
          <w:lang w:val="en-US"/>
        </w:rPr>
      </w:pPr>
      <w:r w:rsidRPr="00ED4770">
        <w:rPr>
          <w:sz w:val="24"/>
          <w:szCs w:val="22"/>
          <w:lang w:val="en-US"/>
        </w:rPr>
        <w:t>The official website of OAO Gazprom: http://www.gazprom.ru</w:t>
      </w:r>
    </w:p>
    <w:p w:rsidR="004877C2" w:rsidRDefault="004877C2" w:rsidP="00172947">
      <w:pPr>
        <w:rPr>
          <w:lang w:val="en-US"/>
        </w:rPr>
      </w:pPr>
    </w:p>
    <w:p w:rsidR="004877C2" w:rsidRPr="00172947" w:rsidRDefault="004877C2" w:rsidP="00172947">
      <w:pPr>
        <w:rPr>
          <w:lang w:val="en-US"/>
        </w:rPr>
      </w:pPr>
    </w:p>
    <w:sectPr w:rsidR="004877C2" w:rsidRPr="00172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Arial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F8B"/>
    <w:multiLevelType w:val="hybridMultilevel"/>
    <w:tmpl w:val="7CCE4EF2"/>
    <w:lvl w:ilvl="0" w:tplc="B150F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AB13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0332"/>
    <w:multiLevelType w:val="multilevel"/>
    <w:tmpl w:val="820EC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F47A7"/>
    <w:multiLevelType w:val="hybridMultilevel"/>
    <w:tmpl w:val="26D29220"/>
    <w:lvl w:ilvl="0" w:tplc="9FBEDF28">
      <w:start w:val="7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66DA"/>
    <w:multiLevelType w:val="hybridMultilevel"/>
    <w:tmpl w:val="FFBEE4EA"/>
    <w:lvl w:ilvl="0" w:tplc="B150F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D04F2"/>
    <w:multiLevelType w:val="hybridMultilevel"/>
    <w:tmpl w:val="F3B2A66E"/>
    <w:lvl w:ilvl="0" w:tplc="90801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F706C"/>
    <w:multiLevelType w:val="hybridMultilevel"/>
    <w:tmpl w:val="DC20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E4F7F"/>
    <w:multiLevelType w:val="hybridMultilevel"/>
    <w:tmpl w:val="E35AB464"/>
    <w:lvl w:ilvl="0" w:tplc="B150F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D4E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F1228D6"/>
    <w:multiLevelType w:val="hybridMultilevel"/>
    <w:tmpl w:val="D65C4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4A"/>
    <w:rsid w:val="00085252"/>
    <w:rsid w:val="00171AE1"/>
    <w:rsid w:val="00172947"/>
    <w:rsid w:val="001F67A4"/>
    <w:rsid w:val="003D7B1D"/>
    <w:rsid w:val="004877C2"/>
    <w:rsid w:val="004C2BFB"/>
    <w:rsid w:val="0051052D"/>
    <w:rsid w:val="0055744A"/>
    <w:rsid w:val="006D4214"/>
    <w:rsid w:val="007040A8"/>
    <w:rsid w:val="007123AD"/>
    <w:rsid w:val="0073364C"/>
    <w:rsid w:val="00791DF2"/>
    <w:rsid w:val="00885878"/>
    <w:rsid w:val="009125B2"/>
    <w:rsid w:val="00996F9D"/>
    <w:rsid w:val="00A740D8"/>
    <w:rsid w:val="00BF7C19"/>
    <w:rsid w:val="00D04C01"/>
    <w:rsid w:val="00E74FC6"/>
    <w:rsid w:val="00E9791D"/>
    <w:rsid w:val="00EC70B7"/>
    <w:rsid w:val="00E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67033-41AF-4308-B20B-23537D2D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DF2"/>
    <w:pPr>
      <w:keepNext/>
      <w:numPr>
        <w:numId w:val="1"/>
      </w:numPr>
      <w:suppressAutoHyphens/>
      <w:spacing w:before="240" w:after="120"/>
      <w:ind w:left="431" w:hanging="431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791DF2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1DF2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791DF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91D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91DF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91DF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791DF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1DF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DF2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1DF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1DF2"/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91D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91D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91D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91D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91D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91D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1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pt">
    <w:name w:val="Основной текст + 12 pt"/>
    <w:aliases w:val="Полужирный,Основной текст + 9,5 pt,Основной текст + 8,Курсив,Интервал -1 pt,Основной текст + Calibri,11,Основной текст + 10,Основной текст (26) + 11"/>
    <w:basedOn w:val="a0"/>
    <w:rsid w:val="00791D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0"/>
    <w:rsid w:val="00791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7123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23AD"/>
    <w:pPr>
      <w:ind w:left="708"/>
      <w:jc w:val="left"/>
    </w:pPr>
    <w:rPr>
      <w:sz w:val="28"/>
    </w:rPr>
  </w:style>
  <w:style w:type="character" w:customStyle="1" w:styleId="a4">
    <w:name w:val="Основной текст_"/>
    <w:basedOn w:val="a0"/>
    <w:rsid w:val="00E74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0"/>
    <w:rsid w:val="00733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">
    <w:name w:val="Список 21"/>
    <w:basedOn w:val="a"/>
    <w:rsid w:val="006D4214"/>
    <w:pPr>
      <w:ind w:left="566" w:hanging="283"/>
      <w:jc w:val="lef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Полякова Виктория Владимировна</cp:lastModifiedBy>
  <cp:revision>16</cp:revision>
  <dcterms:created xsi:type="dcterms:W3CDTF">2017-11-06T11:41:00Z</dcterms:created>
  <dcterms:modified xsi:type="dcterms:W3CDTF">2017-12-26T13:48:00Z</dcterms:modified>
</cp:coreProperties>
</file>