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56" w:rsidRPr="008B398E" w:rsidRDefault="008B398E" w:rsidP="00C31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Annex 4</w:t>
      </w:r>
    </w:p>
    <w:p w:rsidR="00FC3156" w:rsidRPr="008B398E" w:rsidRDefault="00FC3156" w:rsidP="00C31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56" w:rsidRPr="008B398E" w:rsidRDefault="00FC3156" w:rsidP="00C3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TERMS OF REFERENCE</w:t>
      </w:r>
    </w:p>
    <w:p w:rsidR="00FC3156" w:rsidRPr="008B398E" w:rsidRDefault="008B398E" w:rsidP="00CB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for the development of concept of the territory of the </w:t>
      </w:r>
      <w:r w:rsidR="00865D74">
        <w:rPr>
          <w:rFonts w:ascii="Times New Roman" w:hAnsi="Times New Roman"/>
          <w:bCs/>
          <w:sz w:val="28"/>
          <w:szCs w:val="28"/>
        </w:rPr>
        <w:t>Universal Ex</w:t>
      </w:r>
      <w:r w:rsidR="00700324">
        <w:rPr>
          <w:rFonts w:ascii="Times New Roman" w:hAnsi="Times New Roman"/>
          <w:bCs/>
          <w:sz w:val="28"/>
          <w:szCs w:val="28"/>
        </w:rPr>
        <w:t>position</w:t>
      </w:r>
      <w:r w:rsidR="003B427B">
        <w:rPr>
          <w:rFonts w:ascii="Times New Roman" w:hAnsi="Times New Roman"/>
          <w:bCs/>
          <w:sz w:val="28"/>
          <w:szCs w:val="28"/>
        </w:rPr>
        <w:t xml:space="preserve"> </w:t>
      </w:r>
      <w:r w:rsidR="00865D74">
        <w:rPr>
          <w:rFonts w:ascii="Times New Roman" w:hAnsi="Times New Roman"/>
          <w:bCs/>
          <w:sz w:val="28"/>
          <w:szCs w:val="28"/>
        </w:rPr>
        <w:t>E</w:t>
      </w:r>
      <w:r w:rsidR="003840E4">
        <w:rPr>
          <w:rFonts w:ascii="Times New Roman" w:hAnsi="Times New Roman"/>
          <w:bCs/>
          <w:sz w:val="28"/>
          <w:szCs w:val="28"/>
        </w:rPr>
        <w:t>xpo</w:t>
      </w:r>
      <w:r w:rsidR="005416A8" w:rsidRPr="005416A8">
        <w:rPr>
          <w:rFonts w:ascii="Times New Roman" w:hAnsi="Times New Roman"/>
          <w:bCs/>
          <w:sz w:val="28"/>
          <w:szCs w:val="28"/>
        </w:rPr>
        <w:t xml:space="preserve"> 2025</w:t>
      </w:r>
    </w:p>
    <w:p w:rsidR="00FC3156" w:rsidRPr="008B398E" w:rsidRDefault="00FC3156" w:rsidP="00C3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722"/>
        <w:gridCol w:w="2271"/>
        <w:gridCol w:w="7214"/>
      </w:tblGrid>
      <w:tr w:rsidR="00E46318" w:rsidRPr="008B398E" w:rsidTr="003B23B7">
        <w:tc>
          <w:tcPr>
            <w:tcW w:w="617" w:type="dxa"/>
          </w:tcPr>
          <w:p w:rsidR="00FC3156" w:rsidRPr="008B398E" w:rsidRDefault="00FC3156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Seq. No.</w:t>
            </w:r>
          </w:p>
        </w:tc>
        <w:tc>
          <w:tcPr>
            <w:tcW w:w="2281" w:type="dxa"/>
            <w:vAlign w:val="center"/>
          </w:tcPr>
          <w:p w:rsidR="00FC3156" w:rsidRPr="008B398E" w:rsidRDefault="00FC3156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7309" w:type="dxa"/>
            <w:vAlign w:val="center"/>
          </w:tcPr>
          <w:p w:rsidR="00FC3156" w:rsidRPr="008B398E" w:rsidRDefault="00FC3156" w:rsidP="00C04A45">
            <w:pPr>
              <w:tabs>
                <w:tab w:val="left" w:pos="572"/>
                <w:tab w:val="left" w:pos="6525"/>
              </w:tabs>
              <w:spacing w:after="6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</w:tr>
      <w:tr w:rsidR="00E46318" w:rsidRPr="008B398E" w:rsidTr="003B23B7"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FC3156" w:rsidRPr="008B398E" w:rsidRDefault="00DE06EC" w:rsidP="00C04A45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Design stage</w:t>
            </w:r>
          </w:p>
        </w:tc>
        <w:tc>
          <w:tcPr>
            <w:tcW w:w="7309" w:type="dxa"/>
          </w:tcPr>
          <w:p w:rsidR="00FC3156" w:rsidRPr="008B398E" w:rsidRDefault="00956F63" w:rsidP="00C04A45">
            <w:pPr>
              <w:tabs>
                <w:tab w:val="left" w:pos="572"/>
                <w:tab w:val="left" w:pos="6525"/>
              </w:tabs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concept of urban development</w:t>
            </w:r>
          </w:p>
        </w:tc>
      </w:tr>
      <w:tr w:rsidR="00E46318" w:rsidRPr="008B398E" w:rsidTr="003B23B7"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FC3156" w:rsidRPr="008B398E" w:rsidRDefault="00FC3156" w:rsidP="00C04A45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Basis for development </w:t>
            </w:r>
          </w:p>
        </w:tc>
        <w:tc>
          <w:tcPr>
            <w:tcW w:w="7309" w:type="dxa"/>
          </w:tcPr>
          <w:p w:rsidR="007D2964" w:rsidRPr="008B398E" w:rsidRDefault="003B427B" w:rsidP="00544319">
            <w:pPr>
              <w:pStyle w:val="a4"/>
              <w:numPr>
                <w:ilvl w:val="0"/>
                <w:numId w:val="26"/>
              </w:numPr>
              <w:tabs>
                <w:tab w:val="left" w:pos="595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Resolution </w:t>
            </w:r>
            <w:r w:rsidR="007D2964">
              <w:rPr>
                <w:rFonts w:ascii="Times New Roman" w:hAnsi="Times New Roman"/>
                <w:sz w:val="28"/>
                <w:szCs w:val="28"/>
              </w:rPr>
              <w:t>of the</w:t>
            </w:r>
            <w:r w:rsidR="007B2137">
              <w:rPr>
                <w:rFonts w:ascii="Times New Roman" w:hAnsi="Times New Roman"/>
                <w:sz w:val="28"/>
                <w:szCs w:val="28"/>
              </w:rPr>
              <w:t xml:space="preserve"> Federal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 Government No. 1910-r dd. September 4, 2017.</w:t>
            </w:r>
          </w:p>
          <w:p w:rsidR="007D2964" w:rsidRPr="008B398E" w:rsidRDefault="003B427B" w:rsidP="00544319">
            <w:pPr>
              <w:pStyle w:val="a4"/>
              <w:numPr>
                <w:ilvl w:val="0"/>
                <w:numId w:val="26"/>
              </w:numPr>
              <w:tabs>
                <w:tab w:val="left" w:pos="595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Resolution</w:t>
            </w:r>
            <w:r w:rsidDel="003B4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of the </w:t>
            </w:r>
            <w:r w:rsidR="007B2137">
              <w:rPr>
                <w:rFonts w:ascii="Times New Roman" w:hAnsi="Times New Roman"/>
                <w:sz w:val="28"/>
                <w:szCs w:val="28"/>
              </w:rPr>
              <w:t xml:space="preserve">Federal Government </w:t>
            </w:r>
            <w:r w:rsidR="007D2964">
              <w:rPr>
                <w:rFonts w:ascii="Times New Roman" w:hAnsi="Times New Roman"/>
                <w:sz w:val="28"/>
                <w:szCs w:val="28"/>
              </w:rPr>
              <w:t>No. 2105-r dd. September 29, 2017.</w:t>
            </w:r>
          </w:p>
          <w:p w:rsidR="00411E57" w:rsidRDefault="00865D74" w:rsidP="005B0EE7">
            <w:pPr>
              <w:pStyle w:val="a4"/>
              <w:numPr>
                <w:ilvl w:val="0"/>
                <w:numId w:val="26"/>
              </w:numPr>
              <w:tabs>
                <w:tab w:val="left" w:pos="572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Regulation 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of the Government of the Sverdlovsk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Region 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No. 783-PP dd. 18 October 2017 “On reservation of lands located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 w:rsidR="007D2964">
              <w:rPr>
                <w:rFonts w:ascii="Times New Roman" w:hAnsi="Times New Roman"/>
                <w:sz w:val="28"/>
                <w:szCs w:val="28"/>
              </w:rPr>
              <w:t>the territory of the city of Ekaterinburg 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governmental needs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 of the Sverdlovsk </w:t>
            </w:r>
            <w:r>
              <w:rPr>
                <w:rFonts w:ascii="Times New Roman" w:hAnsi="Times New Roman"/>
                <w:sz w:val="28"/>
                <w:szCs w:val="28"/>
              </w:rPr>
              <w:t>Region for the purpose of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 carry</w:t>
            </w:r>
            <w:r>
              <w:rPr>
                <w:rFonts w:ascii="Times New Roman" w:hAnsi="Times New Roman"/>
                <w:sz w:val="28"/>
                <w:szCs w:val="28"/>
              </w:rPr>
              <w:t>ing</w:t>
            </w:r>
            <w:r w:rsidR="007D2964">
              <w:rPr>
                <w:rFonts w:ascii="Times New Roman" w:hAnsi="Times New Roman"/>
                <w:sz w:val="28"/>
                <w:szCs w:val="28"/>
              </w:rPr>
              <w:t xml:space="preserve"> out preparations for the</w:t>
            </w:r>
            <w:r w:rsidR="0001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Universal Ex</w:t>
            </w:r>
            <w:r w:rsidR="00851633">
              <w:rPr>
                <w:rFonts w:ascii="Times New Roman" w:hAnsi="Times New Roman"/>
                <w:bCs/>
                <w:sz w:val="28"/>
                <w:szCs w:val="28"/>
              </w:rPr>
              <w:t>position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E</w:t>
            </w:r>
            <w:r w:rsidR="003840E4">
              <w:rPr>
                <w:rFonts w:ascii="Times New Roman" w:hAnsi="Times New Roman"/>
                <w:bCs/>
                <w:sz w:val="28"/>
                <w:szCs w:val="28"/>
              </w:rPr>
              <w:t>xpo</w:t>
            </w:r>
            <w:r w:rsidRPr="005416A8">
              <w:rPr>
                <w:rFonts w:ascii="Times New Roman" w:hAnsi="Times New Roman"/>
                <w:bCs/>
                <w:sz w:val="28"/>
                <w:szCs w:val="28"/>
              </w:rPr>
              <w:t xml:space="preserve"> 2025</w:t>
            </w:r>
            <w:r w:rsidR="007D2964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E46318" w:rsidRPr="008B398E" w:rsidTr="003B23B7"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FC3156" w:rsidRPr="008B398E" w:rsidRDefault="00FC3156" w:rsidP="00C04A45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Customer</w:t>
            </w:r>
          </w:p>
        </w:tc>
        <w:tc>
          <w:tcPr>
            <w:tcW w:w="7309" w:type="dxa"/>
          </w:tcPr>
          <w:p w:rsidR="00FC3156" w:rsidRPr="008B398E" w:rsidRDefault="002A2A7C" w:rsidP="002A2A7C">
            <w:pPr>
              <w:tabs>
                <w:tab w:val="left" w:pos="572"/>
                <w:tab w:val="left" w:pos="6525"/>
              </w:tabs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</w:t>
            </w:r>
            <w:r w:rsidR="00865D74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O “E</w:t>
            </w:r>
            <w:r w:rsidR="003840E4">
              <w:rPr>
                <w:rFonts w:ascii="Times New Roman" w:hAnsi="Times New Roman"/>
                <w:sz w:val="28"/>
                <w:szCs w:val="28"/>
              </w:rPr>
              <w:t>xpo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Bid Committee”</w:t>
            </w:r>
          </w:p>
        </w:tc>
      </w:tr>
      <w:tr w:rsidR="00E46318" w:rsidRPr="008B398E" w:rsidTr="003B23B7">
        <w:trPr>
          <w:trHeight w:val="1897"/>
        </w:trPr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FC3156" w:rsidRPr="008B398E" w:rsidRDefault="00FC3156" w:rsidP="00C04A45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Purpose of the competition </w:t>
            </w:r>
          </w:p>
        </w:tc>
        <w:tc>
          <w:tcPr>
            <w:tcW w:w="7309" w:type="dxa"/>
          </w:tcPr>
          <w:p w:rsidR="001C3434" w:rsidRPr="008B398E" w:rsidRDefault="001C3434" w:rsidP="001C3434">
            <w:pPr>
              <w:tabs>
                <w:tab w:val="left" w:pos="572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Obtaining conceptual solutions and ideas for organization of the Site.</w:t>
            </w:r>
          </w:p>
          <w:p w:rsidR="001C3434" w:rsidRPr="008B398E" w:rsidRDefault="001C3434" w:rsidP="001C3434">
            <w:pPr>
              <w:tabs>
                <w:tab w:val="left" w:pos="572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Obtaining architectural and town-planning solutions for </w:t>
            </w:r>
            <w:r w:rsidR="00865D74">
              <w:rPr>
                <w:rFonts w:ascii="Times New Roman" w:hAnsi="Times New Roman"/>
                <w:sz w:val="28"/>
                <w:szCs w:val="28"/>
              </w:rPr>
              <w:t>organization of the Site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F26" w:rsidRDefault="007B079A" w:rsidP="00E82D72">
            <w:pPr>
              <w:tabs>
                <w:tab w:val="left" w:pos="572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Drawing public </w:t>
            </w:r>
            <w:r w:rsidR="001C3434">
              <w:rPr>
                <w:rFonts w:ascii="Times New Roman" w:hAnsi="Times New Roman"/>
                <w:sz w:val="28"/>
                <w:szCs w:val="28"/>
              </w:rPr>
              <w:t>attention to the theme 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holding</w:t>
            </w:r>
            <w:r w:rsidR="001C3434">
              <w:rPr>
                <w:rFonts w:ascii="Times New Roman" w:hAnsi="Times New Roman"/>
                <w:sz w:val="28"/>
                <w:szCs w:val="28"/>
              </w:rPr>
              <w:t xml:space="preserve"> the Universal </w:t>
            </w:r>
            <w:r w:rsidR="00E82D72">
              <w:rPr>
                <w:rFonts w:ascii="Times New Roman" w:hAnsi="Times New Roman"/>
                <w:sz w:val="28"/>
                <w:szCs w:val="28"/>
              </w:rPr>
              <w:t>Exposition</w:t>
            </w:r>
            <w:r w:rsidR="00E82D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3840E4">
              <w:rPr>
                <w:rFonts w:ascii="Times New Roman" w:hAnsi="Times New Roman"/>
                <w:bCs/>
                <w:sz w:val="28"/>
                <w:szCs w:val="28"/>
              </w:rPr>
              <w:t>xpo</w:t>
            </w:r>
            <w:r w:rsidRPr="005416A8">
              <w:rPr>
                <w:rFonts w:ascii="Times New Roman" w:hAnsi="Times New Roman"/>
                <w:bCs/>
                <w:sz w:val="28"/>
                <w:szCs w:val="28"/>
              </w:rPr>
              <w:t xml:space="preserve"> 2025</w:t>
            </w:r>
            <w:r w:rsidR="001C3434">
              <w:rPr>
                <w:rFonts w:ascii="Times New Roman" w:hAnsi="Times New Roman"/>
                <w:sz w:val="28"/>
                <w:szCs w:val="28"/>
              </w:rPr>
              <w:t xml:space="preserve"> in Ekaterinburg.</w:t>
            </w:r>
          </w:p>
        </w:tc>
      </w:tr>
      <w:tr w:rsidR="00E46318" w:rsidRPr="008B398E" w:rsidTr="003B23B7"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</w:tcPr>
          <w:p w:rsidR="00FC3156" w:rsidRPr="008B398E" w:rsidRDefault="007D2964" w:rsidP="00C04A45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Object of the competition</w:t>
            </w:r>
          </w:p>
        </w:tc>
        <w:tc>
          <w:tcPr>
            <w:tcW w:w="7309" w:type="dxa"/>
          </w:tcPr>
          <w:p w:rsidR="00166F26" w:rsidRDefault="008A24BB">
            <w:pPr>
              <w:tabs>
                <w:tab w:val="left" w:pos="572"/>
                <w:tab w:val="left" w:pos="6525"/>
              </w:tabs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territory of the city of Ekaterinburg within the boundaries of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 the streets 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Tatis</w:t>
            </w:r>
            <w:r w:rsidR="007B079A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chev - Yury Islamov - Metallurgov - western borders of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land plots under cadastral numbers 66:41:0307070:1, 66:41:0307061:3 - the Great Horse Peninsula – the embankment of Verkh-Isetsky Pond.</w:t>
            </w:r>
          </w:p>
        </w:tc>
      </w:tr>
      <w:tr w:rsidR="00E46318" w:rsidRPr="008B398E" w:rsidTr="003B23B7">
        <w:trPr>
          <w:trHeight w:val="70"/>
        </w:trPr>
        <w:tc>
          <w:tcPr>
            <w:tcW w:w="617" w:type="dxa"/>
          </w:tcPr>
          <w:p w:rsidR="00FC3156" w:rsidRPr="008B398E" w:rsidRDefault="00E602EE" w:rsidP="00C04A4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</w:tcPr>
          <w:p w:rsidR="00166F26" w:rsidRDefault="00FC3156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Characteristics of </w:t>
            </w:r>
            <w:r w:rsidR="007B079A">
              <w:rPr>
                <w:rFonts w:ascii="Times New Roman" w:hAnsi="Times New Roman"/>
                <w:sz w:val="28"/>
                <w:szCs w:val="28"/>
              </w:rPr>
              <w:t>territory of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facility </w:t>
            </w:r>
            <w:r w:rsidR="007B079A">
              <w:rPr>
                <w:rFonts w:ascii="Times New Roman" w:hAnsi="Times New Roman"/>
                <w:sz w:val="28"/>
                <w:szCs w:val="28"/>
              </w:rPr>
              <w:t>being designed</w:t>
            </w:r>
          </w:p>
        </w:tc>
        <w:tc>
          <w:tcPr>
            <w:tcW w:w="7309" w:type="dxa"/>
          </w:tcPr>
          <w:p w:rsidR="00166F26" w:rsidRDefault="007D2964">
            <w:pPr>
              <w:tabs>
                <w:tab w:val="left" w:pos="572"/>
                <w:tab w:val="left" w:pos="6525"/>
              </w:tabs>
              <w:spacing w:after="6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Information is 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represented </w:t>
            </w:r>
            <w:r>
              <w:rPr>
                <w:rFonts w:ascii="Times New Roman" w:hAnsi="Times New Roman"/>
                <w:sz w:val="28"/>
                <w:szCs w:val="28"/>
              </w:rPr>
              <w:t>in the “Bid Book” on the Competition web</w:t>
            </w:r>
            <w:r w:rsidR="007B07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site </w:t>
            </w:r>
            <w:hyperlink r:id="rId7" w:history="1">
              <w:r>
                <w:rPr>
                  <w:rStyle w:val="af0"/>
                  <w:rFonts w:ascii="Times New Roman" w:hAnsi="Times New Roman"/>
                  <w:sz w:val="28"/>
                  <w:szCs w:val="28"/>
                </w:rPr>
                <w:t>https://exporussia2025.com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in the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 section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“Media Center”.</w:t>
            </w:r>
          </w:p>
        </w:tc>
      </w:tr>
      <w:tr w:rsidR="00CB2BBF" w:rsidRPr="008B398E" w:rsidTr="003B23B7">
        <w:trPr>
          <w:trHeight w:val="70"/>
        </w:trPr>
        <w:tc>
          <w:tcPr>
            <w:tcW w:w="617" w:type="dxa"/>
          </w:tcPr>
          <w:p w:rsidR="00CB2BBF" w:rsidRPr="008B398E" w:rsidRDefault="003B23B7" w:rsidP="00CB2B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</w:tcPr>
          <w:p w:rsidR="00CB2BBF" w:rsidRPr="008B398E" w:rsidRDefault="00CB2BBF" w:rsidP="00CB2BB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Requirements for the conceptual ideas and documentation being developed </w:t>
            </w:r>
          </w:p>
        </w:tc>
        <w:tc>
          <w:tcPr>
            <w:tcW w:w="7309" w:type="dxa"/>
          </w:tcPr>
          <w:p w:rsidR="00D633AA" w:rsidRPr="008B398E" w:rsidRDefault="00D633A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For the</w:t>
            </w:r>
            <w:r w:rsidR="00D975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nominated</w:t>
            </w:r>
            <w:r w:rsidR="007B07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categories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“Social and Philosophical Concept” and “Architectural and Town-Planning Concept”:</w:t>
            </w:r>
          </w:p>
          <w:p w:rsidR="00F87DA7" w:rsidRPr="008B398E" w:rsidRDefault="00CB2BBF" w:rsidP="00AB4EA7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conceptual idea (hereinafter referred to as the </w:t>
            </w:r>
            <w:r w:rsidR="007B079A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Concept</w:t>
            </w:r>
            <w:r w:rsidR="007B079A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of organization of the EXPO 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Site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reflects the theme of the exhibition: “Changing the World: Innovations and Better Life for Future Generations” and the creative concept of the topic of the bidding campaign “Technologies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for Happiness”;</w:t>
            </w:r>
          </w:p>
          <w:p w:rsidR="00AB4EA7" w:rsidRPr="008B398E" w:rsidRDefault="00AB4EA7" w:rsidP="00435352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contains the formulated potential values of the “society of the future” and reflects these values </w:t>
            </w:r>
            <w:r w:rsidR="007B079A">
              <w:rPr>
                <w:rFonts w:ascii="Times New Roman" w:hAnsi="Times New Roman"/>
                <w:sz w:val="28"/>
                <w:szCs w:val="28"/>
              </w:rPr>
              <w:t xml:space="preserve">in the area of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territory and public spaces planning, and other architectural and town-planning solutions for the EXPO </w:t>
            </w:r>
            <w:r w:rsidR="007B079A">
              <w:rPr>
                <w:rFonts w:ascii="Times New Roman" w:hAnsi="Times New Roman"/>
                <w:sz w:val="28"/>
                <w:szCs w:val="28"/>
              </w:rPr>
              <w:t>Site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BBF" w:rsidRPr="008B398E" w:rsidRDefault="00CB2BBF" w:rsidP="006D4668">
            <w:pPr>
              <w:pStyle w:val="a4"/>
              <w:numPr>
                <w:ilvl w:val="0"/>
                <w:numId w:val="30"/>
              </w:numPr>
              <w:tabs>
                <w:tab w:val="left" w:pos="757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offers </w:t>
            </w:r>
            <w:r w:rsidR="009526A6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</w:rPr>
              <w:t>image of the territory and the main pavilion of the country host</w:t>
            </w:r>
            <w:r w:rsidR="009526A6">
              <w:rPr>
                <w:rFonts w:ascii="Times New Roman" w:hAnsi="Times New Roman"/>
                <w:sz w:val="28"/>
                <w:szCs w:val="28"/>
              </w:rPr>
              <w:t>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World Exhibition</w:t>
            </w:r>
            <w:r w:rsidR="009526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which embodies advanced technologies and engineering expertise (the image of the “city of the future”);</w:t>
            </w:r>
          </w:p>
          <w:p w:rsidR="00CB2BBF" w:rsidRPr="008B398E" w:rsidRDefault="00CB2BBF" w:rsidP="00AB4EA7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takes into account the goals of sustainable development of the United Nations Organization (see the document of the General Assembly “Changing our World: an Agenda for Sustainable Development for </w:t>
            </w:r>
            <w:r w:rsidR="009526A6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period up to 2030”) and </w:t>
            </w:r>
            <w:r w:rsidR="009526A6">
              <w:rPr>
                <w:rFonts w:ascii="Times New Roman" w:hAnsi="Times New Roman"/>
                <w:sz w:val="28"/>
                <w:szCs w:val="28"/>
              </w:rPr>
              <w:t xml:space="preserve">works out </w:t>
            </w:r>
            <w:r>
              <w:rPr>
                <w:rFonts w:ascii="Times New Roman" w:hAnsi="Times New Roman"/>
                <w:sz w:val="28"/>
                <w:szCs w:val="28"/>
              </w:rPr>
              <w:t>three aspects of sustainable development (environment, economy, society);</w:t>
            </w:r>
          </w:p>
          <w:p w:rsidR="00074856" w:rsidRPr="008B398E" w:rsidRDefault="00074856" w:rsidP="00074856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symbolizes the national peculiarities of the </w:t>
            </w:r>
            <w:r w:rsidR="001F35AC">
              <w:rPr>
                <w:rFonts w:ascii="Times New Roman" w:hAnsi="Times New Roman"/>
                <w:sz w:val="28"/>
                <w:szCs w:val="28"/>
              </w:rPr>
              <w:t xml:space="preserve">host </w:t>
            </w:r>
            <w:r>
              <w:rPr>
                <w:rFonts w:ascii="Times New Roman" w:hAnsi="Times New Roman"/>
                <w:sz w:val="28"/>
                <w:szCs w:val="28"/>
              </w:rPr>
              <w:t>country and the region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5AC">
              <w:rPr>
                <w:rFonts w:ascii="Times New Roman" w:hAnsi="Times New Roman"/>
                <w:sz w:val="28"/>
                <w:szCs w:val="28"/>
              </w:rPr>
              <w:t>of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 the ex</w:t>
            </w:r>
            <w:r w:rsidR="001F35AC">
              <w:rPr>
                <w:rFonts w:ascii="Times New Roman" w:hAnsi="Times New Roman"/>
                <w:sz w:val="28"/>
                <w:szCs w:val="28"/>
              </w:rPr>
              <w:t>position</w:t>
            </w:r>
            <w:r w:rsidR="00D975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substantiation 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decisions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made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BBF" w:rsidRPr="008B398E" w:rsidRDefault="00CB2BBF" w:rsidP="00AB4EA7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provides for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scenarios as to the use 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 Venue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after the Exhibition;</w:t>
            </w:r>
          </w:p>
          <w:p w:rsidR="00CB2BBF" w:rsidRPr="008B398E" w:rsidRDefault="00CB2BBF" w:rsidP="00AB4EA7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offers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principles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 Venue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management in conjunction with the world</w:t>
            </w:r>
            <w:r w:rsidR="00D97557">
              <w:rPr>
                <w:rFonts w:ascii="Times New Roman" w:hAnsi="Times New Roman"/>
                <w:sz w:val="28"/>
                <w:szCs w:val="28"/>
              </w:rPr>
              <w:t>wide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trends in 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</w:rPr>
              <w:t>management of major exhibition events;</w:t>
            </w:r>
          </w:p>
          <w:p w:rsidR="003470DA" w:rsidRPr="008B398E" w:rsidRDefault="003470DA" w:rsidP="003470DA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86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offers </w:t>
            </w:r>
            <w:r>
              <w:rPr>
                <w:rFonts w:ascii="Times New Roman" w:hAnsi="Times New Roman"/>
                <w:sz w:val="28"/>
                <w:szCs w:val="28"/>
              </w:rPr>
              <w:t>the logo of the E</w:t>
            </w:r>
            <w:r w:rsidR="00726571">
              <w:rPr>
                <w:rFonts w:ascii="Times New Roman" w:hAnsi="Times New Roman"/>
                <w:sz w:val="28"/>
                <w:szCs w:val="28"/>
              </w:rPr>
              <w:t>xpo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 which </w:t>
            </w:r>
            <w:r>
              <w:rPr>
                <w:rFonts w:ascii="Times New Roman" w:hAnsi="Times New Roman"/>
                <w:sz w:val="28"/>
                <w:szCs w:val="28"/>
              </w:rPr>
              <w:t>reflect</w:t>
            </w:r>
            <w:r w:rsidR="00D97557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theme of the Exhibition.</w:t>
            </w:r>
          </w:p>
          <w:p w:rsidR="00D633AA" w:rsidRPr="008B398E" w:rsidRDefault="00D633A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AA" w:rsidRPr="008B398E" w:rsidRDefault="0049346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For the </w:t>
            </w:r>
            <w:r w:rsidR="00D975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nominated category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“Architectural and Town-Planning Concept” Category:</w:t>
            </w:r>
          </w:p>
          <w:p w:rsidR="006F3DA7" w:rsidRPr="00A47626" w:rsidRDefault="00CE5918" w:rsidP="00A47626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86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takes into account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5918" w:rsidRPr="00A47626" w:rsidRDefault="00D97557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peculiarities </w:t>
            </w:r>
            <w:r w:rsidR="006F3DA7">
              <w:rPr>
                <w:rFonts w:ascii="Times New Roman" w:hAnsi="Times New Roman"/>
                <w:sz w:val="28"/>
                <w:szCs w:val="28"/>
              </w:rPr>
              <w:t xml:space="preserve">of the terrain and the existing natural landscape; </w:t>
            </w:r>
          </w:p>
          <w:p w:rsidR="00EC47EC" w:rsidRPr="00A47626" w:rsidRDefault="00374C45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existing city transport</w:t>
            </w:r>
            <w:r w:rsidR="00D97557">
              <w:rPr>
                <w:rFonts w:ascii="Times New Roman" w:hAnsi="Times New Roman"/>
                <w:sz w:val="28"/>
                <w:szCs w:val="28"/>
              </w:rPr>
              <w:t>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system (including the street and road network, public transport lines, main pedestrian links, etc.), and ensures the connectivity of the EXPO 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Site </w:t>
            </w:r>
            <w:r>
              <w:rPr>
                <w:rFonts w:ascii="Times New Roman" w:hAnsi="Times New Roman"/>
                <w:sz w:val="28"/>
                <w:szCs w:val="28"/>
              </w:rPr>
              <w:t>with the administrative and transport centers of the city of Ekaterinburg (international airport, railway station, bus stations, metro) and the main places of attraction;</w:t>
            </w:r>
          </w:p>
          <w:p w:rsidR="008328BA" w:rsidRPr="00A47626" w:rsidRDefault="008328BA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expected number of visitors, functional composition, number of pavilions and other qualitative characteristics in accordance with the “Bid Book” (Volume 2, Chapter 9);</w:t>
            </w:r>
          </w:p>
          <w:p w:rsidR="008328BA" w:rsidRPr="00A47626" w:rsidRDefault="008328BA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requirements for creating positive and barrier-free environment (for all population groups);</w:t>
            </w:r>
          </w:p>
          <w:p w:rsidR="00270E7E" w:rsidRPr="00A47626" w:rsidRDefault="008328BA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requirements for environmental protection (sanitary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and town-planning standards);</w:t>
            </w:r>
          </w:p>
          <w:p w:rsidR="008328BA" w:rsidRPr="00A47626" w:rsidRDefault="00270E7E" w:rsidP="00A47626">
            <w:pPr>
              <w:pStyle w:val="a4"/>
              <w:numPr>
                <w:ilvl w:val="0"/>
                <w:numId w:val="43"/>
              </w:numPr>
              <w:tabs>
                <w:tab w:val="left" w:pos="1111"/>
                <w:tab w:val="left" w:pos="6525"/>
              </w:tabs>
              <w:spacing w:after="60" w:line="240" w:lineRule="auto"/>
              <w:ind w:left="0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principles of organization of </w:t>
            </w:r>
            <w:r w:rsidR="00D97557">
              <w:rPr>
                <w:rFonts w:ascii="Times New Roman" w:hAnsi="Times New Roman"/>
                <w:sz w:val="28"/>
                <w:szCs w:val="28"/>
              </w:rPr>
              <w:t xml:space="preserve">new-generation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residential environment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with regard 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town-planning solutions </w:t>
            </w:r>
            <w:r w:rsidR="00D97557">
              <w:rPr>
                <w:rFonts w:ascii="Times New Roman" w:hAnsi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 residential areas planning (Appendix No.2).</w:t>
            </w:r>
          </w:p>
          <w:p w:rsidR="00FF45AD" w:rsidRPr="008B398E" w:rsidRDefault="00FF45AD" w:rsidP="00435352">
            <w:pPr>
              <w:pStyle w:val="a4"/>
              <w:numPr>
                <w:ilvl w:val="0"/>
                <w:numId w:val="30"/>
              </w:numPr>
              <w:tabs>
                <w:tab w:val="left" w:pos="757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is based on the results of 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factor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town-planning analysis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 Venue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7DA7" w:rsidRPr="008B398E" w:rsidRDefault="00CC500D" w:rsidP="00435352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86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concept 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offers </w:t>
            </w:r>
            <w:r>
              <w:rPr>
                <w:rFonts w:ascii="Times New Roman" w:hAnsi="Times New Roman"/>
                <w:sz w:val="28"/>
                <w:szCs w:val="28"/>
              </w:rPr>
              <w:t>design solutions aimed at harmoniz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ing </w:t>
            </w:r>
            <w:r>
              <w:rPr>
                <w:rFonts w:ascii="Times New Roman" w:hAnsi="Times New Roman"/>
                <w:sz w:val="28"/>
                <w:szCs w:val="28"/>
              </w:rPr>
              <w:t>human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 being</w:t>
            </w:r>
            <w:r>
              <w:rPr>
                <w:rFonts w:ascii="Times New Roman" w:hAnsi="Times New Roman"/>
                <w:sz w:val="28"/>
                <w:szCs w:val="28"/>
              </w:rPr>
              <w:t>, architecture and nature, high quality and operational characteristics of the environment, as well as ensuring the ecological efficiency and environmental focus of the territory development;</w:t>
            </w:r>
          </w:p>
          <w:p w:rsidR="00166F26" w:rsidRDefault="008328BA">
            <w:pPr>
              <w:pStyle w:val="a4"/>
              <w:numPr>
                <w:ilvl w:val="0"/>
                <w:numId w:val="30"/>
              </w:numPr>
              <w:tabs>
                <w:tab w:val="left" w:pos="740"/>
                <w:tab w:val="left" w:pos="860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concept presupposes integration of E</w:t>
            </w:r>
            <w:r w:rsidR="00726571">
              <w:rPr>
                <w:rFonts w:ascii="Times New Roman" w:hAnsi="Times New Roman"/>
                <w:sz w:val="28"/>
                <w:szCs w:val="28"/>
              </w:rPr>
              <w:t>xpo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into the existing and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prospective planning structure of the city, transport and environmental frameworks.</w:t>
            </w:r>
          </w:p>
        </w:tc>
      </w:tr>
      <w:tr w:rsidR="00CB2BBF" w:rsidRPr="008B398E" w:rsidTr="003B23B7">
        <w:trPr>
          <w:trHeight w:val="814"/>
        </w:trPr>
        <w:tc>
          <w:tcPr>
            <w:tcW w:w="617" w:type="dxa"/>
          </w:tcPr>
          <w:p w:rsidR="00CB2BBF" w:rsidRPr="008B398E" w:rsidRDefault="003B23B7" w:rsidP="00CB2B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1" w:type="dxa"/>
          </w:tcPr>
          <w:p w:rsidR="00166F26" w:rsidRDefault="00CB2BB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Composition and </w:t>
            </w:r>
            <w:r w:rsidR="00EF3023">
              <w:rPr>
                <w:rFonts w:ascii="Times New Roman" w:hAnsi="Times New Roman"/>
                <w:sz w:val="28"/>
                <w:szCs w:val="28"/>
              </w:rPr>
              <w:t xml:space="preserve">scope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of the project </w:t>
            </w:r>
          </w:p>
        </w:tc>
        <w:tc>
          <w:tcPr>
            <w:tcW w:w="7309" w:type="dxa"/>
          </w:tcPr>
          <w:p w:rsidR="00CB2BBF" w:rsidRPr="008B398E" w:rsidRDefault="00CB2BBF" w:rsidP="00435352">
            <w:pPr>
              <w:pStyle w:val="a4"/>
              <w:numPr>
                <w:ilvl w:val="0"/>
                <w:numId w:val="34"/>
              </w:numPr>
              <w:tabs>
                <w:tab w:val="left" w:pos="331"/>
                <w:tab w:val="left" w:pos="6525"/>
              </w:tabs>
              <w:spacing w:after="60" w:line="240" w:lineRule="auto"/>
              <w:ind w:left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Textual materials (explanatory note) contain:</w:t>
            </w:r>
          </w:p>
          <w:p w:rsidR="0049346A" w:rsidRPr="008B398E" w:rsidRDefault="00E82253" w:rsidP="00CB2BBF">
            <w:pPr>
              <w:pStyle w:val="a4"/>
              <w:tabs>
                <w:tab w:val="left" w:pos="572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For the</w:t>
            </w:r>
            <w:r w:rsidR="002430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nominated categories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“Social and Philosophical Concept” and “Architectural and Town-Planning Concept”:</w:t>
            </w:r>
          </w:p>
          <w:p w:rsidR="00CB2BBF" w:rsidRPr="008B398E" w:rsidRDefault="0024300B" w:rsidP="00435352">
            <w:pPr>
              <w:pStyle w:val="a4"/>
              <w:numPr>
                <w:ilvl w:val="0"/>
                <w:numId w:val="36"/>
              </w:numPr>
              <w:tabs>
                <w:tab w:val="left" w:pos="757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escription </w:t>
            </w:r>
            <w:r>
              <w:rPr>
                <w:rFonts w:ascii="Times New Roman" w:hAnsi="Times New Roman"/>
                <w:sz w:val="28"/>
                <w:szCs w:val="28"/>
              </w:rPr>
              <w:t>of the Concept of the territory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: the image of the space reserved for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Exposition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; unique architectural solutions united by a single ideological, planning and stylistic structure; the idea of architectural and spatial planning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; the idea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 xml:space="preserve">Venue </w:t>
            </w:r>
            <w:r>
              <w:rPr>
                <w:rFonts w:ascii="Times New Roman" w:hAnsi="Times New Roman"/>
                <w:sz w:val="28"/>
                <w:szCs w:val="28"/>
              </w:rPr>
              <w:t>space planning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; scenarios for conversion and use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 xml:space="preserve">Venue </w:t>
            </w:r>
            <w:r w:rsidR="00E82253">
              <w:rPr>
                <w:rFonts w:ascii="Times New Roman" w:hAnsi="Times New Roman"/>
                <w:sz w:val="28"/>
                <w:szCs w:val="28"/>
              </w:rPr>
              <w:t xml:space="preserve">after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Exposition</w:t>
            </w:r>
            <w:r w:rsidR="00E822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2253" w:rsidRPr="008B398E" w:rsidRDefault="00E82253" w:rsidP="00E82253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Proposals </w:t>
            </w:r>
            <w:r w:rsidR="000B4919">
              <w:rPr>
                <w:rFonts w:ascii="Times New Roman" w:hAnsi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919">
              <w:rPr>
                <w:rFonts w:ascii="Times New Roman" w:hAnsi="Times New Roman"/>
                <w:sz w:val="28"/>
                <w:szCs w:val="28"/>
              </w:rPr>
              <w:t xml:space="preserve">combining </w:t>
            </w:r>
            <w:r>
              <w:rPr>
                <w:rFonts w:ascii="Times New Roman" w:hAnsi="Times New Roman"/>
                <w:sz w:val="28"/>
                <w:szCs w:val="28"/>
              </w:rPr>
              <w:t>the types of functional use, the principles of</w:t>
            </w:r>
            <w:r w:rsidR="000B4919">
              <w:rPr>
                <w:rFonts w:ascii="Times New Roman" w:hAnsi="Times New Roman"/>
                <w:sz w:val="28"/>
                <w:szCs w:val="28"/>
              </w:rPr>
              <w:t xml:space="preserve"> volumetric 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spatial</w:t>
            </w:r>
            <w:r w:rsidR="00DE6658">
              <w:rPr>
                <w:rFonts w:ascii="Times New Roman" w:hAnsi="Times New Roman"/>
                <w:sz w:val="28"/>
                <w:szCs w:val="28"/>
              </w:rPr>
              <w:t>,</w:t>
            </w:r>
            <w:r w:rsidR="000B4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architectural 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organization of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construction, 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the system of </w:t>
            </w:r>
            <w:r>
              <w:rPr>
                <w:rFonts w:ascii="Times New Roman" w:hAnsi="Times New Roman"/>
                <w:sz w:val="28"/>
                <w:szCs w:val="28"/>
              </w:rPr>
              <w:t>public spaces, landscaping and the use of water spaces;</w:t>
            </w:r>
          </w:p>
          <w:p w:rsidR="00F07014" w:rsidRPr="008B398E" w:rsidRDefault="00F07014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Scenarios 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as to </w:t>
            </w:r>
            <w:r>
              <w:rPr>
                <w:rFonts w:ascii="Times New Roman" w:hAnsi="Times New Roman"/>
                <w:sz w:val="28"/>
                <w:szCs w:val="28"/>
              </w:rPr>
              <w:t>the use of the territory and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facilities of the E</w:t>
            </w:r>
            <w:r w:rsidR="00726571">
              <w:rPr>
                <w:rFonts w:ascii="Times New Roman" w:hAnsi="Times New Roman"/>
                <w:sz w:val="28"/>
                <w:szCs w:val="28"/>
              </w:rPr>
              <w:t>xpo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after the exhibition – at the stage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 of legacy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within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summer period – 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during the </w:t>
            </w:r>
            <w:r>
              <w:rPr>
                <w:rFonts w:ascii="Times New Roman" w:hAnsi="Times New Roman"/>
                <w:sz w:val="28"/>
                <w:szCs w:val="28"/>
              </w:rPr>
              <w:t>day</w:t>
            </w:r>
            <w:r w:rsidR="00DE6658">
              <w:rPr>
                <w:rFonts w:ascii="Times New Roman" w:hAnsi="Times New Roman"/>
                <w:sz w:val="28"/>
                <w:szCs w:val="28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 during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night, </w:t>
            </w:r>
            <w:r w:rsidR="00DE6658">
              <w:rPr>
                <w:rFonts w:ascii="Times New Roman" w:hAnsi="Times New Roman"/>
                <w:sz w:val="28"/>
                <w:szCs w:val="28"/>
              </w:rPr>
              <w:t xml:space="preserve">within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winter period – </w:t>
            </w:r>
            <w:r w:rsidR="00DE6658">
              <w:rPr>
                <w:rFonts w:ascii="Times New Roman" w:hAnsi="Times New Roman"/>
                <w:sz w:val="28"/>
                <w:szCs w:val="28"/>
              </w:rPr>
              <w:t>during the daytime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82253" w:rsidRPr="008B398E" w:rsidRDefault="00E82253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33AA" w:rsidRPr="008B398E" w:rsidRDefault="0049346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For the </w:t>
            </w:r>
            <w:r w:rsidR="004A0E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nominated category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“Architectural and Town-Planning Concept”:</w:t>
            </w:r>
          </w:p>
          <w:p w:rsidR="00361A46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Results of </w:t>
            </w:r>
            <w:r w:rsidR="004A0EDD">
              <w:rPr>
                <w:rFonts w:ascii="Times New Roman" w:hAnsi="Times New Roman"/>
                <w:sz w:val="28"/>
                <w:szCs w:val="28"/>
              </w:rPr>
              <w:t xml:space="preserve">factor </w:t>
            </w:r>
            <w:r>
              <w:rPr>
                <w:rFonts w:ascii="Times New Roman" w:hAnsi="Times New Roman"/>
                <w:sz w:val="28"/>
                <w:szCs w:val="28"/>
              </w:rPr>
              <w:t>town-planning analysis of the E</w:t>
            </w:r>
            <w:r w:rsidR="00726571">
              <w:rPr>
                <w:rFonts w:ascii="Times New Roman" w:hAnsi="Times New Roman"/>
                <w:sz w:val="28"/>
                <w:szCs w:val="28"/>
              </w:rPr>
              <w:t>xpo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>
              <w:rPr>
                <w:rFonts w:ascii="Times New Roman" w:hAnsi="Times New Roman"/>
                <w:sz w:val="28"/>
                <w:szCs w:val="28"/>
              </w:rPr>
              <w:t>, including:</w:t>
            </w:r>
          </w:p>
          <w:p w:rsidR="00AB1A8C" w:rsidRPr="008B398E" w:rsidRDefault="00AB1A8C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Assessment of ecological and hydrogeological condition;</w:t>
            </w:r>
          </w:p>
          <w:p w:rsidR="00AB1A8C" w:rsidRPr="008B398E" w:rsidRDefault="004A0EDD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Assessment </w:t>
            </w:r>
            <w:r w:rsidR="00AB1A8C">
              <w:rPr>
                <w:rFonts w:ascii="Times New Roman" w:hAnsi="Times New Roman"/>
                <w:sz w:val="28"/>
                <w:szCs w:val="28"/>
              </w:rPr>
              <w:t>of recreational impact and natural frame</w:t>
            </w:r>
            <w:r>
              <w:rPr>
                <w:rFonts w:ascii="Times New Roman" w:hAnsi="Times New Roman"/>
                <w:sz w:val="28"/>
                <w:szCs w:val="28"/>
              </w:rPr>
              <w:t>work</w:t>
            </w:r>
            <w:r w:rsidR="00AB1A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1A8C" w:rsidRPr="008B398E" w:rsidRDefault="00AB1A8C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Assessment of the degree of engineering</w:t>
            </w:r>
            <w:r w:rsidR="004A0E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technical, and transport</w:t>
            </w:r>
            <w:r w:rsidR="004A0EDD">
              <w:rPr>
                <w:rFonts w:ascii="Times New Roman" w:hAnsi="Times New Roman"/>
                <w:sz w:val="28"/>
                <w:szCs w:val="28"/>
              </w:rPr>
              <w:t>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support of the territory; </w:t>
            </w:r>
          </w:p>
          <w:p w:rsidR="008328BA" w:rsidRPr="008B398E" w:rsidRDefault="00AB1A8C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Visual landscape analysis;</w:t>
            </w:r>
          </w:p>
          <w:p w:rsidR="00270E7E" w:rsidRPr="008B398E" w:rsidRDefault="004A0EDD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Assessment </w:t>
            </w:r>
            <w:r w:rsidR="009C5BFE">
              <w:rPr>
                <w:rFonts w:ascii="Times New Roman" w:hAnsi="Times New Roman"/>
                <w:sz w:val="28"/>
                <w:szCs w:val="28"/>
              </w:rPr>
              <w:t>of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system of</w:t>
            </w:r>
            <w:r w:rsidR="009C5BFE">
              <w:rPr>
                <w:rFonts w:ascii="Times New Roman" w:hAnsi="Times New Roman"/>
                <w:sz w:val="28"/>
                <w:szCs w:val="28"/>
              </w:rPr>
              <w:t xml:space="preserve"> community centers;</w:t>
            </w:r>
          </w:p>
          <w:p w:rsidR="00270E7E" w:rsidRPr="008B398E" w:rsidRDefault="004A0EDD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Comprehensive conclusion</w:t>
            </w:r>
            <w:r w:rsidR="009C5B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1A8C" w:rsidRPr="008B398E" w:rsidRDefault="008328BA" w:rsidP="00435352">
            <w:pPr>
              <w:pStyle w:val="a4"/>
              <w:numPr>
                <w:ilvl w:val="0"/>
                <w:numId w:val="40"/>
              </w:numPr>
              <w:tabs>
                <w:tab w:val="left" w:pos="740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Other aspects (</w:t>
            </w:r>
            <w:r w:rsidR="004A0EDD">
              <w:rPr>
                <w:rFonts w:ascii="Times New Roman" w:hAnsi="Times New Roman"/>
                <w:sz w:val="28"/>
                <w:szCs w:val="28"/>
              </w:rPr>
              <w:t xml:space="preserve">as </w:t>
            </w:r>
            <w:r w:rsidR="00015D30">
              <w:rPr>
                <w:rFonts w:ascii="Times New Roman" w:hAnsi="Times New Roman"/>
                <w:sz w:val="28"/>
                <w:szCs w:val="28"/>
              </w:rPr>
              <w:t>preferred</w:t>
            </w:r>
            <w:r w:rsidR="004A0EDD">
              <w:rPr>
                <w:rFonts w:ascii="Times New Roman" w:hAnsi="Times New Roman"/>
                <w:sz w:val="28"/>
                <w:szCs w:val="28"/>
              </w:rPr>
              <w:t xml:space="preserve"> 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DD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>Participant);</w:t>
            </w:r>
          </w:p>
          <w:p w:rsidR="00AB1A8C" w:rsidRPr="008B398E" w:rsidRDefault="00F31F88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Description of architectural</w:t>
            </w:r>
            <w:r w:rsidR="007D6A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town planning, and space-planning solutions and their </w:t>
            </w:r>
            <w:r w:rsidR="007D6A24">
              <w:rPr>
                <w:rFonts w:ascii="Times New Roman" w:hAnsi="Times New Roman"/>
                <w:sz w:val="28"/>
                <w:szCs w:val="28"/>
              </w:rPr>
              <w:t>substantiation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6A24">
              <w:rPr>
                <w:rFonts w:ascii="Times New Roman" w:hAnsi="Times New Roman"/>
                <w:sz w:val="28"/>
                <w:szCs w:val="28"/>
              </w:rPr>
              <w:t>basic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technical and economic indicators;</w:t>
            </w:r>
          </w:p>
          <w:p w:rsidR="00E82253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Proposals </w:t>
            </w:r>
            <w:r w:rsidR="004948BA">
              <w:rPr>
                <w:rFonts w:ascii="Times New Roman" w:hAnsi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develop</w:t>
            </w:r>
            <w:r w:rsidR="004948BA">
              <w:rPr>
                <w:rFonts w:ascii="Times New Roman" w:hAnsi="Times New Roman"/>
                <w:sz w:val="28"/>
                <w:szCs w:val="28"/>
              </w:rPr>
              <w:t>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infrastructure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 Venue</w:t>
            </w:r>
            <w:r w:rsidR="0049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(construction of transport</w:t>
            </w:r>
            <w:r w:rsidR="004948BA">
              <w:rPr>
                <w:rFonts w:ascii="Times New Roman" w:hAnsi="Times New Roman"/>
                <w:sz w:val="28"/>
                <w:szCs w:val="28"/>
              </w:rPr>
              <w:t>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engineering facilities, commercial real estate and services</w:t>
            </w:r>
            <w:r w:rsidR="004948BA">
              <w:rPr>
                <w:rFonts w:ascii="Times New Roman" w:hAnsi="Times New Roman"/>
                <w:sz w:val="28"/>
                <w:szCs w:val="28"/>
              </w:rPr>
              <w:t xml:space="preserve"> sector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BC423C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Description of </w:t>
            </w:r>
            <w:r w:rsidR="004948BA">
              <w:rPr>
                <w:rFonts w:ascii="Times New Roman" w:hAnsi="Times New Roman"/>
                <w:sz w:val="28"/>
                <w:szCs w:val="28"/>
              </w:rPr>
              <w:t>comprehensive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system for monitoring and managing technical equipment and </w:t>
            </w:r>
            <w:r w:rsidR="004948BA">
              <w:rPr>
                <w:rFonts w:ascii="Times New Roman" w:hAnsi="Times New Roman"/>
                <w:sz w:val="28"/>
                <w:szCs w:val="28"/>
              </w:rPr>
              <w:t xml:space="preserve">providing </w:t>
            </w:r>
            <w:r>
              <w:rPr>
                <w:rFonts w:ascii="Times New Roman" w:hAnsi="Times New Roman"/>
                <w:sz w:val="28"/>
                <w:szCs w:val="28"/>
              </w:rPr>
              <w:t>security within the territory;</w:t>
            </w:r>
          </w:p>
          <w:p w:rsidR="00CE5918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Proposals </w:t>
            </w:r>
            <w:r w:rsidR="004948BA">
              <w:rPr>
                <w:rFonts w:ascii="Times New Roman" w:hAnsi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8BA">
              <w:rPr>
                <w:rFonts w:ascii="Times New Roman" w:hAnsi="Times New Roman"/>
                <w:sz w:val="28"/>
                <w:szCs w:val="28"/>
              </w:rPr>
              <w:t xml:space="preserve">organizing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groups </w:t>
            </w:r>
            <w:r w:rsidR="00AD5255">
              <w:rPr>
                <w:rFonts w:ascii="Times New Roman" w:hAnsi="Times New Roman"/>
                <w:sz w:val="28"/>
                <w:szCs w:val="28"/>
              </w:rPr>
              <w:t xml:space="preserve">entering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Expo Venue</w:t>
            </w:r>
            <w:r w:rsidR="0049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and the movement of pedestrians and transport within the boundaries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1A46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Description of functional zoning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>Venue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(for example, exhibition pavilions, recreational areas, entertainment facilities, cultural and educational facilities, walking areas, thematic zones, public spaces, etc.);</w:t>
            </w:r>
          </w:p>
          <w:p w:rsidR="00361A46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Description of</w:t>
            </w:r>
            <w:r w:rsidR="00AD5255">
              <w:rPr>
                <w:rFonts w:ascii="Times New Roman" w:hAnsi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255">
              <w:rPr>
                <w:rFonts w:ascii="Times New Roman" w:hAnsi="Times New Roman"/>
                <w:sz w:val="28"/>
                <w:szCs w:val="28"/>
              </w:rPr>
              <w:t xml:space="preserve">arrangements that </w:t>
            </w:r>
            <w:r>
              <w:rPr>
                <w:rFonts w:ascii="Times New Roman" w:hAnsi="Times New Roman"/>
                <w:sz w:val="28"/>
                <w:szCs w:val="28"/>
              </w:rPr>
              <w:t>exclud</w:t>
            </w:r>
            <w:r w:rsidR="00AD5255"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or </w:t>
            </w:r>
            <w:r w:rsidR="00AD5255">
              <w:rPr>
                <w:rFonts w:ascii="Times New Roman" w:hAnsi="Times New Roman"/>
                <w:sz w:val="28"/>
                <w:szCs w:val="28"/>
              </w:rPr>
              <w:t xml:space="preserve">minimize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harmful </w:t>
            </w:r>
            <w:r w:rsidR="00807FA1">
              <w:rPr>
                <w:rFonts w:ascii="Times New Roman" w:hAnsi="Times New Roman"/>
                <w:sz w:val="28"/>
                <w:szCs w:val="28"/>
              </w:rPr>
              <w:t xml:space="preserve">impact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of construction works on the natural </w:t>
            </w:r>
            <w:r w:rsidR="00AD5255">
              <w:rPr>
                <w:rFonts w:ascii="Times New Roman" w:hAnsi="Times New Roman"/>
                <w:sz w:val="28"/>
                <w:szCs w:val="28"/>
              </w:rPr>
              <w:t>habitat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F88" w:rsidRPr="008B398E" w:rsidRDefault="00361A46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Description of architectural and artistic highlighting arrangement of places </w:t>
            </w:r>
            <w:r w:rsidR="00807FA1">
              <w:rPr>
                <w:rFonts w:ascii="Times New Roman" w:hAnsi="Times New Roman"/>
                <w:sz w:val="28"/>
                <w:szCs w:val="28"/>
              </w:rPr>
              <w:t>where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mass events</w:t>
            </w:r>
            <w:r w:rsidR="00807FA1">
              <w:rPr>
                <w:rFonts w:ascii="Times New Roman" w:hAnsi="Times New Roman"/>
                <w:sz w:val="28"/>
                <w:szCs w:val="28"/>
              </w:rPr>
              <w:t xml:space="preserve"> will be held</w:t>
            </w:r>
            <w:r>
              <w:rPr>
                <w:rFonts w:ascii="Times New Roman" w:hAnsi="Times New Roman"/>
                <w:sz w:val="28"/>
                <w:szCs w:val="28"/>
              </w:rPr>
              <w:t>, recreational and entertainment open spaces (a</w:t>
            </w:r>
            <w:r w:rsidR="00807FA1">
              <w:rPr>
                <w:rFonts w:ascii="Times New Roman" w:hAnsi="Times New Roman"/>
                <w:sz w:val="28"/>
                <w:szCs w:val="28"/>
              </w:rPr>
              <w:t xml:space="preserve">s preferred by a </w:t>
            </w:r>
            <w:r>
              <w:rPr>
                <w:rFonts w:ascii="Times New Roman" w:hAnsi="Times New Roman"/>
                <w:sz w:val="28"/>
                <w:szCs w:val="28"/>
              </w:rPr>
              <w:t>Participant);</w:t>
            </w:r>
          </w:p>
          <w:p w:rsidR="00F31F88" w:rsidRPr="008B398E" w:rsidRDefault="00F31F88" w:rsidP="00435352">
            <w:pPr>
              <w:pStyle w:val="a4"/>
              <w:numPr>
                <w:ilvl w:val="0"/>
                <w:numId w:val="36"/>
              </w:numPr>
              <w:tabs>
                <w:tab w:val="left" w:pos="740"/>
                <w:tab w:val="left" w:pos="6525"/>
              </w:tabs>
              <w:spacing w:after="60" w:line="240" w:lineRule="auto"/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Proposals </w:t>
            </w:r>
            <w:r w:rsidR="00807FA1">
              <w:rPr>
                <w:rFonts w:ascii="Times New Roman" w:hAnsi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FA1">
              <w:rPr>
                <w:rFonts w:ascii="Times New Roman" w:hAnsi="Times New Roman"/>
                <w:sz w:val="28"/>
                <w:szCs w:val="28"/>
              </w:rPr>
              <w:t xml:space="preserve">placing </w:t>
            </w:r>
            <w:r>
              <w:rPr>
                <w:rFonts w:ascii="Times New Roman" w:hAnsi="Times New Roman"/>
                <w:sz w:val="28"/>
                <w:szCs w:val="28"/>
              </w:rPr>
              <w:t>and design</w:t>
            </w:r>
            <w:r w:rsidR="00807FA1">
              <w:rPr>
                <w:rFonts w:ascii="Times New Roman" w:hAnsi="Times New Roman"/>
                <w:sz w:val="28"/>
                <w:szCs w:val="28"/>
              </w:rPr>
              <w:t>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typical pavilions and small architectural forms (</w:t>
            </w:r>
            <w:r w:rsidR="00692243">
              <w:rPr>
                <w:rFonts w:ascii="Times New Roman" w:hAnsi="Times New Roman"/>
                <w:sz w:val="28"/>
                <w:szCs w:val="28"/>
              </w:rPr>
              <w:t>as preferred by a Participant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C423C" w:rsidRPr="008B398E" w:rsidRDefault="00BC423C" w:rsidP="00CB2BBF">
            <w:pPr>
              <w:pStyle w:val="a4"/>
              <w:tabs>
                <w:tab w:val="left" w:pos="572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AA" w:rsidRPr="008B398E" w:rsidRDefault="00D633AA" w:rsidP="00435352">
            <w:pPr>
              <w:pStyle w:val="a4"/>
              <w:numPr>
                <w:ilvl w:val="0"/>
                <w:numId w:val="34"/>
              </w:numPr>
              <w:tabs>
                <w:tab w:val="left" w:pos="331"/>
                <w:tab w:val="left" w:pos="6525"/>
              </w:tabs>
              <w:spacing w:after="60" w:line="240" w:lineRule="auto"/>
              <w:ind w:left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Graphic materials contain:</w:t>
            </w:r>
          </w:p>
          <w:p w:rsidR="00826D3D" w:rsidRPr="008B398E" w:rsidRDefault="0049346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For the “Social and Philosophical Concept” Category:</w:t>
            </w:r>
          </w:p>
          <w:p w:rsidR="00D633AA" w:rsidRPr="008B398E" w:rsidRDefault="002C51FC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 preferred by a Participant</w:t>
            </w:r>
            <w:r w:rsidR="00D633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6D3D" w:rsidRPr="008B398E" w:rsidRDefault="00826D3D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AA" w:rsidRPr="008B398E" w:rsidRDefault="0049346A" w:rsidP="00D633AA">
            <w:pPr>
              <w:pStyle w:val="a4"/>
              <w:tabs>
                <w:tab w:val="left" w:pos="740"/>
                <w:tab w:val="left" w:pos="6525"/>
              </w:tabs>
              <w:spacing w:after="60" w:line="240" w:lineRule="auto"/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For the </w:t>
            </w:r>
            <w:r w:rsidR="006922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nominated category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“Architectural and Town-Planning Concept”:</w:t>
            </w:r>
          </w:p>
          <w:p w:rsidR="00CC500D" w:rsidRPr="008B398E" w:rsidRDefault="00990FB1" w:rsidP="00CC500D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Situational diagram –</w:t>
            </w:r>
            <w:r w:rsidR="00692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space image (Scale 1:25,000-50,000);</w:t>
            </w:r>
          </w:p>
          <w:p w:rsidR="00CC500D" w:rsidRPr="008B398E" w:rsidRDefault="00CC500D" w:rsidP="00CC500D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Scheme of functional zoning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(Scale 1:5,000-10,000);</w:t>
            </w:r>
          </w:p>
          <w:p w:rsidR="00CC500D" w:rsidRPr="008B398E" w:rsidRDefault="00CC500D" w:rsidP="00CC500D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Architectural and planning solution for the Site development – sketch/ master plan (Scale 1:2,000-10,000) (during and after the Exhibition);</w:t>
            </w:r>
          </w:p>
          <w:p w:rsidR="005A1280" w:rsidRPr="008B398E" w:rsidRDefault="005A1280" w:rsidP="005A1280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Traffic pattern scheme </w:t>
            </w:r>
            <w:r w:rsidR="00692243"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territory of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 xml:space="preserve">Venue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(including pedestrian and non-motorized traffic) and external transport </w:t>
            </w:r>
            <w:r w:rsidR="00692243"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territory adjacent to the </w:t>
            </w:r>
            <w:r w:rsidR="00726571">
              <w:rPr>
                <w:rFonts w:ascii="Times New Roman" w:hAnsi="Times New Roman"/>
                <w:sz w:val="28"/>
                <w:szCs w:val="28"/>
              </w:rPr>
              <w:t xml:space="preserve">Venue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(including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public transport and pedestrian traffic);</w:t>
            </w:r>
          </w:p>
          <w:p w:rsidR="001A7617" w:rsidRPr="008B398E" w:rsidRDefault="001A7617" w:rsidP="001A7617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Landscaping and public spaces scheme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(Scale 1:5,000-10,000);</w:t>
            </w:r>
          </w:p>
          <w:p w:rsidR="0085616A" w:rsidRPr="008B398E" w:rsidRDefault="001A7617" w:rsidP="0085616A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 storage arrangement scheme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(Scale 1:5,000-10,000);</w:t>
            </w:r>
          </w:p>
          <w:p w:rsidR="0085616A" w:rsidRPr="008B398E" w:rsidRDefault="0085616A" w:rsidP="0085616A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Volumetric and spatial model (main types);</w:t>
            </w:r>
          </w:p>
          <w:p w:rsidR="0085616A" w:rsidRPr="008B398E" w:rsidRDefault="0085616A" w:rsidP="0085616A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Scale model (Scale 1:5,000-10,000) (</w:t>
            </w:r>
            <w:r w:rsidR="00692243">
              <w:rPr>
                <w:rFonts w:ascii="Times New Roman" w:hAnsi="Times New Roman"/>
                <w:sz w:val="28"/>
                <w:szCs w:val="28"/>
              </w:rPr>
              <w:t>as preferred 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43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>Participant);</w:t>
            </w:r>
          </w:p>
          <w:p w:rsidR="001A7617" w:rsidRDefault="00692243" w:rsidP="0085616A">
            <w:pPr>
              <w:pStyle w:val="a4"/>
              <w:numPr>
                <w:ilvl w:val="0"/>
                <w:numId w:val="25"/>
              </w:numPr>
              <w:tabs>
                <w:tab w:val="left" w:pos="572"/>
                <w:tab w:val="left" w:pos="652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Video tape</w:t>
            </w:r>
            <w:r w:rsidR="0085616A">
              <w:rPr>
                <w:rFonts w:ascii="Times New Roman" w:hAnsi="Times New Roman"/>
                <w:sz w:val="28"/>
                <w:szCs w:val="28"/>
              </w:rPr>
              <w:t xml:space="preserve"> that represents the Concept</w:t>
            </w:r>
            <w:r w:rsidR="0085616A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as preferred by a Participant</w:t>
            </w:r>
            <w:r w:rsidR="008561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F6A0A" w:rsidRPr="008B398E" w:rsidRDefault="006F6A0A" w:rsidP="006F6A0A">
            <w:pPr>
              <w:pStyle w:val="a4"/>
              <w:tabs>
                <w:tab w:val="left" w:pos="572"/>
                <w:tab w:val="left" w:pos="6525"/>
              </w:tabs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26" w:rsidRDefault="00CB2BBF">
            <w:pPr>
              <w:tabs>
                <w:tab w:val="left" w:pos="572"/>
                <w:tab w:val="left" w:pos="6525"/>
              </w:tabs>
              <w:autoSpaceDE w:val="0"/>
              <w:autoSpaceDN w:val="0"/>
              <w:adjustRightInd w:val="0"/>
              <w:spacing w:after="6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Additional graphic and visual materials may be attached to the materials </w:t>
            </w:r>
            <w:r w:rsidR="0040498F">
              <w:rPr>
                <w:rFonts w:ascii="Times New Roman" w:hAnsi="Times New Roman"/>
                <w:sz w:val="28"/>
                <w:szCs w:val="28"/>
              </w:rPr>
              <w:t xml:space="preserve">as preferred by Participants </w:t>
            </w:r>
            <w:r>
              <w:rPr>
                <w:rFonts w:ascii="Times New Roman" w:hAnsi="Times New Roman"/>
                <w:sz w:val="28"/>
                <w:szCs w:val="28"/>
              </w:rPr>
              <w:t>for the most complete understanding of the author’s solution.</w:t>
            </w:r>
          </w:p>
        </w:tc>
      </w:tr>
      <w:tr w:rsidR="00CB2BBF" w:rsidRPr="008B398E" w:rsidTr="006F6A0A">
        <w:trPr>
          <w:trHeight w:val="3697"/>
        </w:trPr>
        <w:tc>
          <w:tcPr>
            <w:tcW w:w="617" w:type="dxa"/>
          </w:tcPr>
          <w:p w:rsidR="00CB2BBF" w:rsidRPr="008B398E" w:rsidRDefault="003B23B7" w:rsidP="00CB2B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1" w:type="dxa"/>
          </w:tcPr>
          <w:p w:rsidR="00411E57" w:rsidRDefault="00CB2BBF" w:rsidP="005B0EE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Requirements for registration and submission</w:t>
            </w:r>
            <w:r w:rsidR="0040498F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r w:rsidR="00015D30">
              <w:rPr>
                <w:rFonts w:ascii="Times New Roman" w:hAnsi="Times New Roman"/>
                <w:sz w:val="28"/>
                <w:szCs w:val="28"/>
              </w:rPr>
              <w:t>documents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09" w:type="dxa"/>
          </w:tcPr>
          <w:p w:rsidR="008A39ED" w:rsidRPr="008B398E" w:rsidRDefault="008A39ED">
            <w:pPr>
              <w:pStyle w:val="a4"/>
              <w:numPr>
                <w:ilvl w:val="0"/>
                <w:numId w:val="28"/>
              </w:numPr>
              <w:tabs>
                <w:tab w:val="left" w:pos="572"/>
                <w:tab w:val="left" w:pos="6525"/>
              </w:tabs>
              <w:spacing w:after="60" w:line="240" w:lineRule="auto"/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Bid Documentation shall be </w:t>
            </w:r>
            <w:r w:rsidR="00692919">
              <w:rPr>
                <w:rFonts w:ascii="Times New Roman" w:hAnsi="Times New Roman"/>
                <w:sz w:val="28"/>
                <w:szCs w:val="28"/>
              </w:rPr>
              <w:t xml:space="preserve">submitted </w:t>
            </w:r>
            <w:r>
              <w:rPr>
                <w:rFonts w:ascii="Times New Roman" w:hAnsi="Times New Roman"/>
                <w:sz w:val="28"/>
                <w:szCs w:val="28"/>
              </w:rPr>
              <w:t>in the form of electronic images of documents and in the form of files containing digital vector images:</w:t>
            </w:r>
          </w:p>
          <w:p w:rsidR="001A7617" w:rsidRPr="008B398E" w:rsidRDefault="008A39ED" w:rsidP="006D4668">
            <w:pPr>
              <w:pStyle w:val="a4"/>
              <w:numPr>
                <w:ilvl w:val="0"/>
                <w:numId w:val="42"/>
              </w:numPr>
              <w:tabs>
                <w:tab w:val="left" w:pos="572"/>
                <w:tab w:val="left" w:pos="6525"/>
              </w:tabs>
              <w:spacing w:after="60" w:line="240" w:lineRule="auto"/>
              <w:ind w:left="61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pdf, doc – for </w:t>
            </w:r>
            <w:r w:rsidR="00692919">
              <w:rPr>
                <w:rFonts w:ascii="Times New Roman" w:hAnsi="Times New Roman"/>
                <w:sz w:val="28"/>
                <w:szCs w:val="28"/>
              </w:rPr>
              <w:t xml:space="preserve">documents with </w:t>
            </w:r>
            <w:r>
              <w:rPr>
                <w:rFonts w:ascii="Times New Roman" w:hAnsi="Times New Roman"/>
                <w:sz w:val="28"/>
                <w:szCs w:val="28"/>
              </w:rPr>
              <w:t>textual content (up to 20 ‘A4’ pages);</w:t>
            </w:r>
          </w:p>
          <w:p w:rsidR="001A7617" w:rsidRPr="008B398E" w:rsidRDefault="008A39ED" w:rsidP="006D4668">
            <w:pPr>
              <w:pStyle w:val="a4"/>
              <w:numPr>
                <w:ilvl w:val="0"/>
                <w:numId w:val="42"/>
              </w:numPr>
              <w:tabs>
                <w:tab w:val="left" w:pos="572"/>
                <w:tab w:val="left" w:pos="6525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pdf, jpeg, dwg, eps, cdr and others – for graphic documents.</w:t>
            </w:r>
          </w:p>
          <w:p w:rsidR="00166F26" w:rsidRDefault="001A7617">
            <w:pPr>
              <w:pStyle w:val="a4"/>
              <w:tabs>
                <w:tab w:val="left" w:pos="572"/>
              </w:tabs>
              <w:ind w:left="0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Presentation </w:t>
            </w:r>
            <w:r w:rsidR="00692919">
              <w:rPr>
                <w:rFonts w:ascii="Times New Roman" w:hAnsi="Times New Roman"/>
                <w:sz w:val="28"/>
                <w:szCs w:val="28"/>
              </w:rPr>
              <w:t>Document Set shall be attached to the documentation</w:t>
            </w:r>
            <w:r w:rsidR="000F244B">
              <w:rPr>
                <w:rFonts w:ascii="Times New Roman" w:hAnsi="Times New Roman"/>
                <w:sz w:val="28"/>
                <w:szCs w:val="28"/>
              </w:rPr>
              <w:t xml:space="preserve"> arranged</w:t>
            </w:r>
            <w:r w:rsidR="00692919">
              <w:rPr>
                <w:rFonts w:ascii="Times New Roman" w:hAnsi="Times New Roman"/>
                <w:sz w:val="28"/>
                <w:szCs w:val="28"/>
              </w:rPr>
              <w:t xml:space="preserve"> as a formed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919">
              <w:rPr>
                <w:rFonts w:ascii="Times New Roman" w:hAnsi="Times New Roman"/>
                <w:sz w:val="28"/>
                <w:szCs w:val="28"/>
              </w:rPr>
              <w:t xml:space="preserve">integrated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album in pdf format. </w:t>
            </w:r>
          </w:p>
        </w:tc>
      </w:tr>
    </w:tbl>
    <w:p w:rsidR="00D31B21" w:rsidRPr="00E46318" w:rsidRDefault="00D31B21" w:rsidP="006F6A0A">
      <w:pPr>
        <w:spacing w:after="200" w:line="276" w:lineRule="auto"/>
        <w:rPr>
          <w:rFonts w:ascii="Times New Roman" w:hAnsi="Times New Roman" w:cs="Times New Roman"/>
        </w:rPr>
      </w:pPr>
    </w:p>
    <w:sectPr w:rsidR="00D31B21" w:rsidRPr="00E46318" w:rsidSect="008B398E">
      <w:headerReference w:type="default" r:id="rId8"/>
      <w:headerReference w:type="first" r:id="rId9"/>
      <w:pgSz w:w="11906" w:h="16838"/>
      <w:pgMar w:top="1134" w:right="849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23" w:rsidRDefault="00F43723">
      <w:pPr>
        <w:spacing w:after="0" w:line="240" w:lineRule="auto"/>
      </w:pPr>
      <w:r>
        <w:separator/>
      </w:r>
    </w:p>
  </w:endnote>
  <w:endnote w:type="continuationSeparator" w:id="0">
    <w:p w:rsidR="00F43723" w:rsidRDefault="00F4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23" w:rsidRDefault="00F43723">
      <w:pPr>
        <w:spacing w:after="0" w:line="240" w:lineRule="auto"/>
      </w:pPr>
      <w:r>
        <w:separator/>
      </w:r>
    </w:p>
  </w:footnote>
  <w:footnote w:type="continuationSeparator" w:id="0">
    <w:p w:rsidR="00F43723" w:rsidRDefault="00F4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658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4919" w:rsidRPr="008B398E" w:rsidRDefault="00411E5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39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919" w:rsidRPr="008B39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39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EE7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8B39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4919" w:rsidRDefault="000B49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19" w:rsidRPr="005905CA" w:rsidRDefault="000B4919">
    <w:pPr>
      <w:pStyle w:val="a5"/>
    </w:pPr>
    <w:r>
      <w:t>PROJECT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7A"/>
    <w:multiLevelType w:val="hybridMultilevel"/>
    <w:tmpl w:val="C04246F4"/>
    <w:lvl w:ilvl="0" w:tplc="64B021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8C4"/>
    <w:multiLevelType w:val="hybridMultilevel"/>
    <w:tmpl w:val="965EFF7C"/>
    <w:lvl w:ilvl="0" w:tplc="9034A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62FE"/>
    <w:multiLevelType w:val="hybridMultilevel"/>
    <w:tmpl w:val="D5E65EB0"/>
    <w:lvl w:ilvl="0" w:tplc="1BFCF1C0">
      <w:start w:val="1"/>
      <w:numFmt w:val="bullet"/>
      <w:suff w:val="space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0B6540CB"/>
    <w:multiLevelType w:val="hybridMultilevel"/>
    <w:tmpl w:val="4280887C"/>
    <w:lvl w:ilvl="0" w:tplc="97668B44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74F"/>
    <w:multiLevelType w:val="hybridMultilevel"/>
    <w:tmpl w:val="B22A9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E4981"/>
    <w:multiLevelType w:val="hybridMultilevel"/>
    <w:tmpl w:val="27F065A4"/>
    <w:lvl w:ilvl="0" w:tplc="3AC890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C42"/>
    <w:multiLevelType w:val="hybridMultilevel"/>
    <w:tmpl w:val="A3FA48CE"/>
    <w:lvl w:ilvl="0" w:tplc="0ACE0560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8AC"/>
    <w:multiLevelType w:val="hybridMultilevel"/>
    <w:tmpl w:val="65AA8BF0"/>
    <w:lvl w:ilvl="0" w:tplc="B9D6D164">
      <w:start w:val="1"/>
      <w:numFmt w:val="decimal"/>
      <w:suff w:val="space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5533E"/>
    <w:multiLevelType w:val="hybridMultilevel"/>
    <w:tmpl w:val="5A0ACC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1A27000B"/>
    <w:multiLevelType w:val="hybridMultilevel"/>
    <w:tmpl w:val="A82C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B1F66"/>
    <w:multiLevelType w:val="hybridMultilevel"/>
    <w:tmpl w:val="3F6ED4AE"/>
    <w:lvl w:ilvl="0" w:tplc="AA587D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6517AA"/>
    <w:multiLevelType w:val="hybridMultilevel"/>
    <w:tmpl w:val="26F4A96E"/>
    <w:lvl w:ilvl="0" w:tplc="72325696">
      <w:start w:val="1"/>
      <w:numFmt w:val="decimal"/>
      <w:lvlText w:val="%1)"/>
      <w:lvlJc w:val="left"/>
      <w:pPr>
        <w:ind w:left="6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42474E8"/>
    <w:multiLevelType w:val="hybridMultilevel"/>
    <w:tmpl w:val="8216F0C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4F12FD7"/>
    <w:multiLevelType w:val="hybridMultilevel"/>
    <w:tmpl w:val="8F206A6C"/>
    <w:lvl w:ilvl="0" w:tplc="2B9C89A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69A0"/>
    <w:multiLevelType w:val="hybridMultilevel"/>
    <w:tmpl w:val="627E01E0"/>
    <w:lvl w:ilvl="0" w:tplc="5D3E9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2BA2"/>
    <w:multiLevelType w:val="hybridMultilevel"/>
    <w:tmpl w:val="D24C4000"/>
    <w:lvl w:ilvl="0" w:tplc="8894FE06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AC56467"/>
    <w:multiLevelType w:val="hybridMultilevel"/>
    <w:tmpl w:val="18AAB8BA"/>
    <w:lvl w:ilvl="0" w:tplc="DA7A0F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3630F3"/>
    <w:multiLevelType w:val="hybridMultilevel"/>
    <w:tmpl w:val="765AB60E"/>
    <w:lvl w:ilvl="0" w:tplc="7A104D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077502D"/>
    <w:multiLevelType w:val="hybridMultilevel"/>
    <w:tmpl w:val="CD98EC46"/>
    <w:lvl w:ilvl="0" w:tplc="4698B6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41C14F8B"/>
    <w:multiLevelType w:val="hybridMultilevel"/>
    <w:tmpl w:val="BF9C5538"/>
    <w:lvl w:ilvl="0" w:tplc="A8868C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41FA4595"/>
    <w:multiLevelType w:val="hybridMultilevel"/>
    <w:tmpl w:val="27EC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50EF"/>
    <w:multiLevelType w:val="hybridMultilevel"/>
    <w:tmpl w:val="457A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2EA8"/>
    <w:multiLevelType w:val="hybridMultilevel"/>
    <w:tmpl w:val="A9A6F684"/>
    <w:lvl w:ilvl="0" w:tplc="F0105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3074"/>
    <w:multiLevelType w:val="hybridMultilevel"/>
    <w:tmpl w:val="715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3C8"/>
    <w:multiLevelType w:val="hybridMultilevel"/>
    <w:tmpl w:val="2252F8A6"/>
    <w:lvl w:ilvl="0" w:tplc="9034A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CC1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160F7"/>
    <w:multiLevelType w:val="hybridMultilevel"/>
    <w:tmpl w:val="7ABC2096"/>
    <w:lvl w:ilvl="0" w:tplc="0A56DBE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0320"/>
    <w:multiLevelType w:val="hybridMultilevel"/>
    <w:tmpl w:val="CAC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26C63"/>
    <w:multiLevelType w:val="hybridMultilevel"/>
    <w:tmpl w:val="587C2A4E"/>
    <w:lvl w:ilvl="0" w:tplc="DA7A0F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62885912"/>
    <w:multiLevelType w:val="hybridMultilevel"/>
    <w:tmpl w:val="15C0EBB0"/>
    <w:lvl w:ilvl="0" w:tplc="C5A0159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63120190"/>
    <w:multiLevelType w:val="hybridMultilevel"/>
    <w:tmpl w:val="3F4CC460"/>
    <w:lvl w:ilvl="0" w:tplc="C85AA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6278"/>
    <w:multiLevelType w:val="hybridMultilevel"/>
    <w:tmpl w:val="1C822E92"/>
    <w:lvl w:ilvl="0" w:tplc="C582B75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A422DA3"/>
    <w:multiLevelType w:val="hybridMultilevel"/>
    <w:tmpl w:val="DC24D76C"/>
    <w:lvl w:ilvl="0" w:tplc="4988340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D06491F"/>
    <w:multiLevelType w:val="hybridMultilevel"/>
    <w:tmpl w:val="E23A8DAE"/>
    <w:lvl w:ilvl="0" w:tplc="16CC1116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 w15:restartNumberingAfterBreak="0">
    <w:nsid w:val="6DC72A2B"/>
    <w:multiLevelType w:val="hybridMultilevel"/>
    <w:tmpl w:val="9098886A"/>
    <w:lvl w:ilvl="0" w:tplc="33F0F0A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72AB5AFB"/>
    <w:multiLevelType w:val="hybridMultilevel"/>
    <w:tmpl w:val="FDD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1C0B"/>
    <w:multiLevelType w:val="hybridMultilevel"/>
    <w:tmpl w:val="1040EB08"/>
    <w:lvl w:ilvl="0" w:tplc="2D081AB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75D54C28"/>
    <w:multiLevelType w:val="hybridMultilevel"/>
    <w:tmpl w:val="D1E61690"/>
    <w:lvl w:ilvl="0" w:tplc="1D92C73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6BD0"/>
    <w:multiLevelType w:val="hybridMultilevel"/>
    <w:tmpl w:val="A3C07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E2EC3"/>
    <w:multiLevelType w:val="hybridMultilevel"/>
    <w:tmpl w:val="4E0C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33EC8"/>
    <w:multiLevelType w:val="hybridMultilevel"/>
    <w:tmpl w:val="CBF4F250"/>
    <w:lvl w:ilvl="0" w:tplc="FDE857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7BD316E0"/>
    <w:multiLevelType w:val="hybridMultilevel"/>
    <w:tmpl w:val="18AAB8BA"/>
    <w:lvl w:ilvl="0" w:tplc="DA7A0F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7EA60A7B"/>
    <w:multiLevelType w:val="hybridMultilevel"/>
    <w:tmpl w:val="997CD2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6"/>
  </w:num>
  <w:num w:numId="5">
    <w:abstractNumId w:val="15"/>
  </w:num>
  <w:num w:numId="6">
    <w:abstractNumId w:val="18"/>
  </w:num>
  <w:num w:numId="7">
    <w:abstractNumId w:val="2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35"/>
  </w:num>
  <w:num w:numId="13">
    <w:abstractNumId w:val="20"/>
  </w:num>
  <w:num w:numId="14">
    <w:abstractNumId w:val="39"/>
  </w:num>
  <w:num w:numId="15">
    <w:abstractNumId w:val="11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4"/>
  </w:num>
  <w:num w:numId="21">
    <w:abstractNumId w:val="9"/>
  </w:num>
  <w:num w:numId="22">
    <w:abstractNumId w:val="37"/>
  </w:num>
  <w:num w:numId="23">
    <w:abstractNumId w:val="23"/>
  </w:num>
  <w:num w:numId="24">
    <w:abstractNumId w:val="30"/>
  </w:num>
  <w:num w:numId="25">
    <w:abstractNumId w:val="19"/>
  </w:num>
  <w:num w:numId="26">
    <w:abstractNumId w:val="40"/>
  </w:num>
  <w:num w:numId="27">
    <w:abstractNumId w:val="16"/>
  </w:num>
  <w:num w:numId="28">
    <w:abstractNumId w:val="38"/>
  </w:num>
  <w:num w:numId="29">
    <w:abstractNumId w:val="26"/>
  </w:num>
  <w:num w:numId="30">
    <w:abstractNumId w:val="22"/>
  </w:num>
  <w:num w:numId="31">
    <w:abstractNumId w:val="27"/>
  </w:num>
  <w:num w:numId="32">
    <w:abstractNumId w:val="34"/>
  </w:num>
  <w:num w:numId="33">
    <w:abstractNumId w:val="24"/>
  </w:num>
  <w:num w:numId="34">
    <w:abstractNumId w:val="33"/>
  </w:num>
  <w:num w:numId="35">
    <w:abstractNumId w:val="31"/>
  </w:num>
  <w:num w:numId="36">
    <w:abstractNumId w:val="14"/>
  </w:num>
  <w:num w:numId="37">
    <w:abstractNumId w:val="17"/>
  </w:num>
  <w:num w:numId="38">
    <w:abstractNumId w:val="41"/>
  </w:num>
  <w:num w:numId="39">
    <w:abstractNumId w:val="25"/>
  </w:num>
  <w:num w:numId="40">
    <w:abstractNumId w:val="32"/>
  </w:num>
  <w:num w:numId="41">
    <w:abstractNumId w:val="1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156"/>
    <w:rsid w:val="0000430C"/>
    <w:rsid w:val="00015D30"/>
    <w:rsid w:val="0006395B"/>
    <w:rsid w:val="000670E4"/>
    <w:rsid w:val="00074856"/>
    <w:rsid w:val="00091B5F"/>
    <w:rsid w:val="000B4919"/>
    <w:rsid w:val="000E1A75"/>
    <w:rsid w:val="000E70BE"/>
    <w:rsid w:val="000F244B"/>
    <w:rsid w:val="00166F26"/>
    <w:rsid w:val="00197A79"/>
    <w:rsid w:val="00197FFB"/>
    <w:rsid w:val="001A7617"/>
    <w:rsid w:val="001C3434"/>
    <w:rsid w:val="001E252C"/>
    <w:rsid w:val="001F35AC"/>
    <w:rsid w:val="00200683"/>
    <w:rsid w:val="0024300B"/>
    <w:rsid w:val="00270E7E"/>
    <w:rsid w:val="0027420C"/>
    <w:rsid w:val="00285C14"/>
    <w:rsid w:val="002A17C2"/>
    <w:rsid w:val="002A2A7C"/>
    <w:rsid w:val="002A7EA1"/>
    <w:rsid w:val="002C51FC"/>
    <w:rsid w:val="002D08F5"/>
    <w:rsid w:val="002E74B8"/>
    <w:rsid w:val="00327ADC"/>
    <w:rsid w:val="003470DA"/>
    <w:rsid w:val="00350C89"/>
    <w:rsid w:val="00361A46"/>
    <w:rsid w:val="00374C45"/>
    <w:rsid w:val="003840E4"/>
    <w:rsid w:val="003B1956"/>
    <w:rsid w:val="003B23B7"/>
    <w:rsid w:val="003B427B"/>
    <w:rsid w:val="003C2B35"/>
    <w:rsid w:val="003C6659"/>
    <w:rsid w:val="003D2D4A"/>
    <w:rsid w:val="0040498F"/>
    <w:rsid w:val="00411E57"/>
    <w:rsid w:val="00435352"/>
    <w:rsid w:val="00443C0D"/>
    <w:rsid w:val="00444B05"/>
    <w:rsid w:val="0049346A"/>
    <w:rsid w:val="004948BA"/>
    <w:rsid w:val="004A0EDD"/>
    <w:rsid w:val="004C619C"/>
    <w:rsid w:val="004E3167"/>
    <w:rsid w:val="004F7B67"/>
    <w:rsid w:val="005142D6"/>
    <w:rsid w:val="005416A8"/>
    <w:rsid w:val="00544319"/>
    <w:rsid w:val="00584874"/>
    <w:rsid w:val="00586200"/>
    <w:rsid w:val="005905CA"/>
    <w:rsid w:val="005A1280"/>
    <w:rsid w:val="005A3054"/>
    <w:rsid w:val="005B0EE7"/>
    <w:rsid w:val="005B1B9C"/>
    <w:rsid w:val="00605D92"/>
    <w:rsid w:val="00612F82"/>
    <w:rsid w:val="00621FCC"/>
    <w:rsid w:val="00647B64"/>
    <w:rsid w:val="0066073E"/>
    <w:rsid w:val="00666842"/>
    <w:rsid w:val="006739EB"/>
    <w:rsid w:val="00675375"/>
    <w:rsid w:val="00692243"/>
    <w:rsid w:val="00692919"/>
    <w:rsid w:val="006C1BC7"/>
    <w:rsid w:val="006D4668"/>
    <w:rsid w:val="006F3DA7"/>
    <w:rsid w:val="006F6A0A"/>
    <w:rsid w:val="00700324"/>
    <w:rsid w:val="0070159A"/>
    <w:rsid w:val="00726571"/>
    <w:rsid w:val="0074081D"/>
    <w:rsid w:val="00754874"/>
    <w:rsid w:val="007B079A"/>
    <w:rsid w:val="007B2137"/>
    <w:rsid w:val="007D2964"/>
    <w:rsid w:val="007D6A24"/>
    <w:rsid w:val="007F7DE4"/>
    <w:rsid w:val="00803147"/>
    <w:rsid w:val="00807FA1"/>
    <w:rsid w:val="008225C6"/>
    <w:rsid w:val="00826D3D"/>
    <w:rsid w:val="008328BA"/>
    <w:rsid w:val="00851633"/>
    <w:rsid w:val="0085616A"/>
    <w:rsid w:val="00865D74"/>
    <w:rsid w:val="00866041"/>
    <w:rsid w:val="0089796C"/>
    <w:rsid w:val="008A1413"/>
    <w:rsid w:val="008A24BB"/>
    <w:rsid w:val="008A39ED"/>
    <w:rsid w:val="008B398E"/>
    <w:rsid w:val="008B7137"/>
    <w:rsid w:val="008C0235"/>
    <w:rsid w:val="00914BD2"/>
    <w:rsid w:val="00937947"/>
    <w:rsid w:val="009526A6"/>
    <w:rsid w:val="009545EF"/>
    <w:rsid w:val="00956F63"/>
    <w:rsid w:val="009658F0"/>
    <w:rsid w:val="00990FB1"/>
    <w:rsid w:val="009A61B7"/>
    <w:rsid w:val="009C416B"/>
    <w:rsid w:val="009C5BFE"/>
    <w:rsid w:val="009D079C"/>
    <w:rsid w:val="009D1EC1"/>
    <w:rsid w:val="009D7C72"/>
    <w:rsid w:val="00A173DA"/>
    <w:rsid w:val="00A41940"/>
    <w:rsid w:val="00A47626"/>
    <w:rsid w:val="00A54542"/>
    <w:rsid w:val="00A5546E"/>
    <w:rsid w:val="00A63DBA"/>
    <w:rsid w:val="00AB1A8C"/>
    <w:rsid w:val="00AB4EA7"/>
    <w:rsid w:val="00AB744A"/>
    <w:rsid w:val="00AC5CA7"/>
    <w:rsid w:val="00AD5255"/>
    <w:rsid w:val="00B03B1A"/>
    <w:rsid w:val="00B06E40"/>
    <w:rsid w:val="00B314D2"/>
    <w:rsid w:val="00B356EC"/>
    <w:rsid w:val="00B65BB5"/>
    <w:rsid w:val="00BB10F0"/>
    <w:rsid w:val="00BC22AF"/>
    <w:rsid w:val="00BC423C"/>
    <w:rsid w:val="00C04A45"/>
    <w:rsid w:val="00C24A7C"/>
    <w:rsid w:val="00C27D59"/>
    <w:rsid w:val="00C31A14"/>
    <w:rsid w:val="00C46750"/>
    <w:rsid w:val="00C74D6A"/>
    <w:rsid w:val="00C8140E"/>
    <w:rsid w:val="00C97DAC"/>
    <w:rsid w:val="00CA477E"/>
    <w:rsid w:val="00CB2BBF"/>
    <w:rsid w:val="00CC500D"/>
    <w:rsid w:val="00CE5918"/>
    <w:rsid w:val="00D1496D"/>
    <w:rsid w:val="00D31B21"/>
    <w:rsid w:val="00D633AA"/>
    <w:rsid w:val="00D648B3"/>
    <w:rsid w:val="00D73EEC"/>
    <w:rsid w:val="00D86DC6"/>
    <w:rsid w:val="00D92D99"/>
    <w:rsid w:val="00D97557"/>
    <w:rsid w:val="00DC1ADB"/>
    <w:rsid w:val="00DC2BEB"/>
    <w:rsid w:val="00DE06EC"/>
    <w:rsid w:val="00DE6658"/>
    <w:rsid w:val="00DE748F"/>
    <w:rsid w:val="00DF13B5"/>
    <w:rsid w:val="00E21831"/>
    <w:rsid w:val="00E24ABB"/>
    <w:rsid w:val="00E278DA"/>
    <w:rsid w:val="00E46318"/>
    <w:rsid w:val="00E602EE"/>
    <w:rsid w:val="00E77541"/>
    <w:rsid w:val="00E82253"/>
    <w:rsid w:val="00E82D72"/>
    <w:rsid w:val="00EC47EC"/>
    <w:rsid w:val="00EF3023"/>
    <w:rsid w:val="00F07014"/>
    <w:rsid w:val="00F30E14"/>
    <w:rsid w:val="00F31F88"/>
    <w:rsid w:val="00F35DCD"/>
    <w:rsid w:val="00F43723"/>
    <w:rsid w:val="00F82E97"/>
    <w:rsid w:val="00F87DA7"/>
    <w:rsid w:val="00F967C5"/>
    <w:rsid w:val="00FC3156"/>
    <w:rsid w:val="00FF45AD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84A8-FC89-4442-8F7C-0BA7B0A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156"/>
  </w:style>
  <w:style w:type="paragraph" w:styleId="a7">
    <w:name w:val="Balloon Text"/>
    <w:basedOn w:val="a"/>
    <w:link w:val="a8"/>
    <w:uiPriority w:val="99"/>
    <w:semiHidden/>
    <w:unhideWhenUsed/>
    <w:rsid w:val="00914B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D2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947"/>
  </w:style>
  <w:style w:type="character" w:styleId="ab">
    <w:name w:val="annotation reference"/>
    <w:basedOn w:val="a0"/>
    <w:uiPriority w:val="99"/>
    <w:semiHidden/>
    <w:unhideWhenUsed/>
    <w:rsid w:val="0059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05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5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05C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4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orussia202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TM_PM</cp:lastModifiedBy>
  <cp:revision>28</cp:revision>
  <cp:lastPrinted>2017-12-05T05:29:00Z</cp:lastPrinted>
  <dcterms:created xsi:type="dcterms:W3CDTF">2017-12-14T04:04:00Z</dcterms:created>
  <dcterms:modified xsi:type="dcterms:W3CDTF">2017-12-14T15:47:00Z</dcterms:modified>
</cp:coreProperties>
</file>